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529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378"/>
        <w:gridCol w:w="810"/>
        <w:gridCol w:w="900"/>
        <w:gridCol w:w="3420"/>
        <w:gridCol w:w="1800"/>
        <w:gridCol w:w="212"/>
        <w:gridCol w:w="1138"/>
        <w:gridCol w:w="5850"/>
        <w:gridCol w:w="21"/>
        <w:tblGridChange w:id="0">
          <w:tblGrid>
            <w:gridCol w:w="378"/>
            <w:gridCol w:w="810"/>
            <w:gridCol w:w="900"/>
            <w:gridCol w:w="3420"/>
            <w:gridCol w:w="1800"/>
            <w:gridCol w:w="212"/>
            <w:gridCol w:w="1138"/>
            <w:gridCol w:w="5850"/>
            <w:gridCol w:w="21"/>
          </w:tblGrid>
        </w:tblGridChange>
      </w:tblGrid>
      <w:tr>
        <w:trPr>
          <w:trHeight w:val="18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r w:rsidRPr="00000000" w:rsidR="00000000" w:rsidDel="00000000">
              <w:rPr>
                <w:sz w:val="18"/>
                <w:rtl w:val="0"/>
              </w:rPr>
              <w:t xml:space="preserve">Trimester 2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8"/>
                <w:rtl w:val="0"/>
              </w:rPr>
              <w:t xml:space="preserve">: 4</w:t>
            </w:r>
            <w:r w:rsidRPr="00000000" w:rsidR="00000000" w:rsidDel="00000000">
              <w:rPr>
                <w:sz w:val="1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18"/>
                <w:rtl w:val="0"/>
              </w:rPr>
              <w:t xml:space="preserve"> Grade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8"/>
                <w:rtl w:val="0"/>
              </w:rPr>
              <w:t xml:space="preserve">:  5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8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Extend basic multiplication facts and review the basic principles of multiplication of multi-digit numbers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Provide practice estimating and deciding when estimation is appropriate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Review and provide practice with algorithms for multi-digit multiplication  </w:t>
            </w:r>
          </w:p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8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8"/>
                <w:rtl w:val="0"/>
              </w:rPr>
              <w:t xml:space="preserve">Provide practice reading, writing and comparing large numbers using patterns in the base-ten place value system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8"/>
                <w:rtl w:val="0"/>
              </w:rPr>
              <w:t xml:space="preserve">: How do you use estimation and multiplication in your daily life?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8"/>
                <w:rtl w:val="0"/>
              </w:rPr>
              <w:t xml:space="preserve"> multiplicative comparison, additive comparison, remainder, estimation, rounding, expanded form, rectangular array, area model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Additional Resources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could you use the shortcut to help you?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I can…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a multiplication equation (e.g. 35 = 5 x 7) as a comparison (35 = 5 x 7 as a statement) that 35 is 5 times as many as 7 and 7 times as many as 5).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multiplication equations representing verbal statements.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4.OA.1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multiplication or division problems using drawings and/or equations with a symbol for the unknown number to represent the problem.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Distinguish between multiplicative (as many times as) and additive (more) comparisons.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4.OA.2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multi-step word problems with whole numbers using the four operations.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Interpret remainders in word problems.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equations using a variable to represent the unknown quantity.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Check my answers using mental computation and estimation strategies, including rounding.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in a multi-digit whole number, a digit in one place represents ten times what it represents in the place to its right.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and write a multi-digit number in word form, base-ten numerals, and expanded form.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two multi-digit numbers using place value and record the comparison using symbols &lt;, &gt;, or =.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my understanding of place value to round multi-digit whole numbers to any place.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 a multi-digit number by a one-digit whole number using place value and the properties of operations.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Multiply two two-digit numbers using properties of operations and equations.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my calculation using equations, rectangular arrays, and/or area models.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Describe the relative size of measurement units (e.g. km, m, cm; kg, g; lb, oz; l, ml; hr, min. sec)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larger unit as a multiple of smaller units within the same system of measurement and record the equivalent measures in a two-column table (e.g. 1 foot = 12 inches, 2 feet = 24 inches, 3 feet = 36 inches). 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360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4.MD.1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measurements using diagrams such as a number line that features a measurement scale. 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the four operations to solve word problems involving measurements.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Convert a measurement given in a larger unit into an equivalent measurement in smaller units in order to solve a problem.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5.2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should you keep trying to solve problems if you don’t get the answer on the first try?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5.3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is it appropriate or useful to estimate?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an exact answer help you check your estimate?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check whether your answer makes sense?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read and write large numbers correctly?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4.G.1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4.G.2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do the patterns tell you about the value of each place?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4.NBT.3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do tables help you interpret the data?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5.11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4.NBT.2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4.MD.2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200" w:line="276" w:before="0"/>
              <w:ind w:left="36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Assessment: Progress Check Unit 5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5.docx</dc:title>
</cp:coreProperties>
</file>