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4529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378"/>
        <w:gridCol w:w="810"/>
        <w:gridCol w:w="900"/>
        <w:gridCol w:w="3420"/>
        <w:gridCol w:w="2012"/>
        <w:gridCol w:w="58"/>
        <w:gridCol w:w="1800"/>
        <w:gridCol w:w="5130"/>
        <w:gridCol w:w="21"/>
        <w:tblGridChange w:id="0">
          <w:tblGrid>
            <w:gridCol w:w="378"/>
            <w:gridCol w:w="810"/>
            <w:gridCol w:w="900"/>
            <w:gridCol w:w="3420"/>
            <w:gridCol w:w="2012"/>
            <w:gridCol w:w="58"/>
            <w:gridCol w:w="1800"/>
            <w:gridCol w:w="5130"/>
            <w:gridCol w:w="21"/>
          </w:tblGrid>
        </w:tblGridChange>
      </w:tblGrid>
      <w:tr>
        <w:trPr>
          <w:trHeight w:val="440" w:hRule="atLeast"/>
        </w:trPr>
        <w:tc>
          <w:tcPr>
            <w:vMerge w:val="restart"/>
          </w:tcPr>
          <w:p w:rsidP="00000000" w:rsidRPr="00000000" w:rsidR="00000000" w:rsidDel="00000000" w:rsidRDefault="00000000">
            <w:pPr>
              <w:ind w:left="113" w:firstLine="0" w:right="113"/>
              <w:contextualSpacing w:val="0"/>
              <w:jc w:val="center"/>
            </w:pPr>
            <w:r w:rsidRPr="00000000" w:rsidR="00000000" w:rsidDel="00000000">
              <w:rPr>
                <w:sz w:val="18"/>
                <w:rtl w:val="0"/>
              </w:rPr>
              <w:t xml:space="preserve">Trimester 3</w:t>
            </w:r>
          </w:p>
        </w:tc>
        <w:tc>
          <w:tcPr>
            <w:gridSpan w:val="4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Grade</w:t>
            </w:r>
            <w:r w:rsidRPr="00000000" w:rsidR="00000000" w:rsidDel="00000000">
              <w:rPr>
                <w:sz w:val="18"/>
                <w:rtl w:val="0"/>
              </w:rPr>
              <w:t xml:space="preserve">: 4</w:t>
            </w:r>
            <w:r w:rsidRPr="00000000" w:rsidR="00000000" w:rsidDel="00000000">
              <w:rPr>
                <w:sz w:val="18"/>
                <w:vertAlign w:val="superscript"/>
                <w:rtl w:val="0"/>
              </w:rPr>
              <w:t xml:space="preserve">th</w:t>
            </w:r>
            <w:r w:rsidRPr="00000000" w:rsidR="00000000" w:rsidDel="00000000">
              <w:rPr>
                <w:sz w:val="18"/>
                <w:rtl w:val="0"/>
              </w:rPr>
              <w:t xml:space="preserve"> Grade</w:t>
            </w:r>
          </w:p>
        </w:tc>
        <w:tc>
          <w:tcPr>
            <w:gridSpan w:val="4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Unit Number</w:t>
            </w:r>
            <w:r w:rsidRPr="00000000" w:rsidR="00000000" w:rsidDel="00000000">
              <w:rPr>
                <w:sz w:val="18"/>
                <w:rtl w:val="0"/>
              </w:rPr>
              <w:t xml:space="preserve">:  12</w:t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8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Unit Overview</w:t>
            </w:r>
            <w:r w:rsidRPr="00000000" w:rsidR="00000000" w:rsidDel="00000000">
              <w:rPr>
                <w:sz w:val="18"/>
                <w:rtl w:val="0"/>
              </w:rPr>
              <w:t xml:space="preserve">: 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0" w:line="276" w:before="0"/>
              <w:ind w:left="720" w:hanging="359"/>
              <w:contextualSpacing w:val="1"/>
              <w:rPr>
                <w:b w:val="0"/>
                <w:sz w:val="18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8"/>
                <w:rtl w:val="0"/>
              </w:rPr>
              <w:t xml:space="preserve">Introduce rates and provide practice collecting and comparing rate data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0" w:line="276" w:before="0"/>
              <w:ind w:left="720" w:hanging="359"/>
              <w:contextualSpacing w:val="1"/>
              <w:rPr>
                <w:b w:val="0"/>
                <w:sz w:val="18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8"/>
                <w:rtl w:val="0"/>
              </w:rPr>
              <w:t xml:space="preserve">Practice solving rate problems, to provide practice comparing unit prices and identifying information needed for comparison shopping</w:t>
            </w:r>
          </w:p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8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Essential Question</w:t>
            </w:r>
            <w:r w:rsidRPr="00000000" w:rsidR="00000000" w:rsidDel="00000000">
              <w:rPr>
                <w:sz w:val="18"/>
                <w:rtl w:val="0"/>
              </w:rPr>
              <w:t xml:space="preserve">: How is rate and unit information important in daily life?</w:t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8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Academic Vocabulary:</w:t>
            </w:r>
            <w:r w:rsidRPr="00000000" w:rsidR="00000000" w:rsidDel="00000000">
              <w:rPr>
                <w:sz w:val="18"/>
                <w:rtl w:val="0"/>
              </w:rPr>
              <w:t xml:space="preserve"> remainder, estimation, rounding, metric units, standard units, fraction, decimal, scale, unit</w:t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Lesson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Standard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Guiding Questions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bookmarkStart w:id="0" w:colFirst="0" w:name="h.gjdgxs" w:colLast="0"/>
            <w:bookmarkEnd w:id="0"/>
            <w:r w:rsidRPr="00000000" w:rsidR="00000000" w:rsidDel="00000000">
              <w:rPr>
                <w:sz w:val="18"/>
                <w:u w:val="single"/>
                <w:rtl w:val="0"/>
              </w:rPr>
              <w:t xml:space="preserve">Additional Resources 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Differentiation 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Student Learning Goals</w:t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12.1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4.NF.6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Why do we talk about how math is important in real life?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restart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I can… 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Solve multi-step word problems with whole numbers using the four operations.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Interpret remainders in word problems.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Write equations using a variable to represent the unknown quantity.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Check my answers using mental computation and estimation strategies, including rounding.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4.OA.3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Use my understanding of place value to round multi-digit whole numbers to any place.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4.NBT.3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Describe the relative size of measurement unites (e.g., km, m ,cm, kg, g, lb, oz, l, ml, hr, min, sec).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Represent measurements using diagrams such as a number line that features a measurement scale.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Use the four operations to solve word problems involving measurements.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Convert a measurement given in a larger unit into an equivalent measurement in smaller units in order to solve a problem.</w:t>
            </w:r>
          </w:p>
          <w:p w:rsidP="00000000" w:rsidRPr="00000000" w:rsidR="00000000" w:rsidDel="00000000" w:rsidRDefault="00000000">
            <w:pPr>
              <w:spacing w:lineRule="auto" w:after="20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4.MD.2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12.2 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4.OA.3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4.MD.1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4.MD.2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Why is it helpful to make a plan before solving a problem?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12.3 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4.OA.3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4.OA.4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4.NBT.3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4.MD.1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4.MD.2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Why is it helpful to check whether the data makes sense?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12.4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4.MD.1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4.MD.2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How do you use math when you go shopping?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12.5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4.NF.2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4.MD.2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How might tools help you in mathematics?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12.6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4.MD.1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How could you use this data to plan future trips?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8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Assessment: Progress Check Unit 12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5840" w:h="122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Rockford Public Schools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Content Area: Math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cs="Arial" w:hAnsi="Arial" w:eastAsia="Arial" w:ascii="Arial"/>
      </w:rPr>
    </w:lvl>
  </w:abstractNum>
  <w:abstractNum w:abstractNumId="2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cs="Arial" w:hAnsi="Arial" w:eastAsia="Arial" w:ascii="Arial"/>
      </w:rPr>
    </w:lvl>
  </w:abstractNum>
  <w:abstractNum w:abstractNumId="3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cs="Arial" w:hAnsi="Arial" w:eastAsia="Arial" w:ascii="Arial"/>
      </w:rPr>
    </w:lvl>
  </w:abstractNum>
  <w:abstractNum w:abstractNumId="4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cs="Arial" w:hAnsi="Arial" w:eastAsia="Arial" w:asci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12.docx</dc:title>
</cp:coreProperties>
</file>