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59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523"/>
        <w:gridCol w:w="839"/>
        <w:gridCol w:w="1306"/>
        <w:gridCol w:w="3632"/>
        <w:gridCol w:w="947"/>
        <w:gridCol w:w="980"/>
        <w:gridCol w:w="2154"/>
        <w:gridCol w:w="4217"/>
        <w:tblGridChange w:id="0">
          <w:tblGrid>
            <w:gridCol w:w="523"/>
            <w:gridCol w:w="839"/>
            <w:gridCol w:w="1306"/>
            <w:gridCol w:w="3632"/>
            <w:gridCol w:w="947"/>
            <w:gridCol w:w="980"/>
            <w:gridCol w:w="2154"/>
            <w:gridCol w:w="4217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</w:pPr>
            <w:r w:rsidRPr="00000000" w:rsidR="00000000" w:rsidDel="00000000">
              <w:rPr>
                <w:b w:val="1"/>
                <w:sz w:val="24"/>
                <w:u w:val="single"/>
                <w:rtl w:val="0"/>
              </w:rPr>
              <w:t xml:space="preserve">First Trimester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3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1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explore patterns on number grids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review telling time, measuring lengths, and using calculators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review data concepts and make predictions based on data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give equivalent names for numbers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sz w:val="16"/>
                <w:rtl w:val="0"/>
              </w:rPr>
              <w:t xml:space="preserve">minute    number line    picture graph (pictograph)    bar graph    arithmetic patterns  place value    algorithm    rounding     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 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math vocabulary helps you communicate clearly about the chances of something happening or not happening?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and write, in both numerals and words, numbers up to six-digits.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thousands as ten groups of hundreds.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Count forward and backward by 1s, 2s. 5s, 10s and 100s from any given three- or four-digit number.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Tell and write time to the nearest minute. (3.MD.1)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Measure a duration of time in minutes. (3.MD.1)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addition and subtraction word problems involving time intervals measured in minutes. (3.MD.1)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calculator to demonstrate that multiplication is repeated addition; division, repeated subtraction.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calculator to check whole number problems using the +, -, x,÷, and = keys.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Draw  a scaled picture graph and a scaled bar graph to represent a data set with several categories.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one- and two-step “how many more” and “how many less” problems using information presented in scaled bar graphs. (3.MD.3)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Quickly add and subtract within 1,000 using a strategy (or algoritym based on place value, properties of operations, and the relationship between addition and subtraction. (2.NBT.2)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arithmetic patterns in number charts, addition tables, and multiplication tables. (3.OA.9)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arithmetic patterns using properties of operations. (3.OA.9) </w:t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are the larger units, such as miles or kilometers, not as appropriate for measuring the distances in the contest?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are the larger units, such as miles or kilometers, not as appropriate for measuring the distances in the contest?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it important to use mathematical tools correctly?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it important to be able to explain data shown in tally charts and graphs?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might it be helpful to solve a problem in more than one way?  </w:t>
            </w:r>
          </w:p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Explain your thinking.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might you use these terms in real life?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3.NBT.2</w:t>
            </w:r>
          </w:p>
        </w:tc>
        <w:tc>
          <w:tcPr/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solving any problem, how do you know if your answer is correct?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3.OA.9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16"/>
                <w:rtl w:val="0"/>
              </w:rPr>
              <w:t xml:space="preserve">Why is it important to use a calculator, or any other tool, correctly?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3.MD.3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16"/>
                <w:rtl w:val="0"/>
              </w:rPr>
              <w:t xml:space="preserve">Why is it important for you to be able to explain what numbers and symbols mean?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1.11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3.NBT.2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16"/>
                <w:rtl w:val="0"/>
              </w:rPr>
              <w:t xml:space="preserve">How do you decide whether the answer to a problem should be exact or an estimate?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1.12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16"/>
                <w:rtl w:val="0"/>
              </w:rPr>
              <w:t xml:space="preserve">Why are patterns important in mathematics?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1.13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3.MD.3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16"/>
                <w:rtl w:val="0"/>
              </w:rPr>
              <w:t xml:space="preserve">Why is it important to communicate your math thinking clearly?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cs="Arial" w:hAnsi="Arial" w:eastAsia="Arial" w:asci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1.docx</dc:title>
</cp:coreProperties>
</file>