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58"/>
        <w:gridCol w:w="810"/>
        <w:gridCol w:w="990"/>
        <w:gridCol w:w="3420"/>
        <w:gridCol w:w="1183"/>
        <w:gridCol w:w="1517"/>
        <w:gridCol w:w="1890"/>
        <w:gridCol w:w="3080"/>
        <w:tblGridChange w:id="0">
          <w:tblGrid>
            <w:gridCol w:w="558"/>
            <w:gridCol w:w="810"/>
            <w:gridCol w:w="990"/>
            <w:gridCol w:w="3420"/>
            <w:gridCol w:w="1183"/>
            <w:gridCol w:w="1517"/>
            <w:gridCol w:w="1890"/>
            <w:gridCol w:w="308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2</w:t>
            </w:r>
            <w:r w:rsidRPr="00000000" w:rsidR="00000000" w:rsidDel="00000000">
              <w:rPr>
                <w:sz w:val="16"/>
                <w:u w:val="single"/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sz w:val="16"/>
                <w:u w:val="single"/>
                <w:rtl w:val="0"/>
              </w:rPr>
              <w:t xml:space="preserve"> Trimester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2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6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Whole-Number Operations and Number Stories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   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In the context of number stories, children will review earlier work with addition and subtraction and begin formal work with multiplication and division.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Unit 6 has three main areas of focus:</w:t>
            </w:r>
          </w:p>
          <w:p w:rsidP="00000000" w:rsidRPr="00000000" w:rsidR="00000000" w:rsidDel="00000000" w:rsidRDefault="00000000">
            <w:pPr>
              <w:ind w:left="882" w:hanging="431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•</w:t>
              <w:tab/>
              <w:t xml:space="preserve">To introduce and practice array models </w:t>
            </w:r>
          </w:p>
          <w:p w:rsidP="00000000" w:rsidRPr="00000000" w:rsidR="00000000" w:rsidDel="00000000" w:rsidRDefault="00000000">
            <w:pPr>
              <w:ind w:left="882" w:hanging="431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•</w:t>
              <w:tab/>
              <w:t xml:space="preserve">To review strategies for solving addition and subtraction problems</w:t>
            </w:r>
          </w:p>
          <w:p w:rsidP="00000000" w:rsidRPr="00000000" w:rsidR="00000000" w:rsidDel="00000000" w:rsidRDefault="00000000">
            <w:pPr>
              <w:ind w:left="882" w:hanging="431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•</w:t>
              <w:tab/>
              <w:t xml:space="preserve">To develop procedures for multiplication and division problems  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 How can you use the concepts of multiplication and division in your everyday life? 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sz w:val="16"/>
                <w:rtl w:val="0"/>
              </w:rPr>
              <w:t xml:space="preserve"> rectangular array, addends, place value, commutative property, associative property, identity property, compose, decompose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2.NBT.9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2.MD.6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understand what numbers mean in math problems?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61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within 100 that have unknown numbers.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61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that require more than one step or computation.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2.OA.1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61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Find the total number of objects in a rectangular array with up to 5 rows and 5 columns.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61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Write an addition equation to express the total as a sum of equal addends.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2.OA.4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61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subtract within 100 using place value, properties of operations, and the relationships between addition and subtraction.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2.NBT.6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up to four two-digit numbers by using strategies beased on place value and properties of operations (e.g., decomposing numbers, rearranging the order of numbers, making tens or multiples of tens).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2.NBT.6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or subtract within 1,000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Demonstrate that when adding or subtracting three-digit numbers one adds or subtracts hundreds and hundreds, tens and tens, ones and ones.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concrete models or drawing and strategies based on place value, properties of operations, and the relationship between addition and subtraction to add and subtract three-digit numbers.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the strategy I used in a written method.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2.NBT.7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why addition and subtraction strategies work when using place value and the properties of operations (commutative, associative, identity).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2.NBT.9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involving lengths of the same units.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the problem using drawing and equations with a symbol for the unknown number.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2.MD.5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and give the value of dollar bills, quarters, dimes, nickels, and pennies.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$ (dollar) and (cents) symbol appropriately.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 word problem with dollar bills, quarters, dimes, nickels, and pennies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2.MD.8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Draw a picture or bar graph to represent data with up to four categories.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Compare data on a bar graph.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data from a picture or bar graph to solve addition and subtraction problems.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2.MD.10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2.NBT.6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do problem solvers check whether their answers make sense?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2.MD.10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types of data could you show in a bar graph?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2.NBT.6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you make sure you understand a problem before solving it?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2.NBT.2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2.NBT.9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6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are other ways to represent numbers?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2.MD.10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is an array?</w:t>
            </w:r>
          </w:p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200" w:line="276" w:before="0"/>
              <w:ind w:left="72" w:hanging="197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could it help you have a plan before starting to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2.OA.4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2.OA.2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2.MD.5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7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might you use equal groups in your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7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When would you use a calculator to solve problems about equal groups? When wouldn’t you?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2.OA.4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7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could it be helpful to show problems in different ways?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6.10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7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Is it the same thing to check whether your answer makes sense and is correct?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 Unit 6 Progress Check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594" w:firstLine="234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314" w:firstLine="954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034" w:firstLine="1674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754" w:firstLine="2394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474" w:firstLine="3114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194" w:firstLine="3834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914" w:firstLine="4554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634" w:firstLine="5274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354" w:firstLine="5994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Math Curriculum Map Unit 6.docx</dc:title>
</cp:coreProperties>
</file>