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bl>
      <w:tblPr>
        <w:tblStyle w:val="Table2"/>
        <w:bidiVisual w:val="0"/>
        <w:tblW w:w="1344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828"/>
        <w:gridCol w:w="1260"/>
        <w:gridCol w:w="1350"/>
        <w:gridCol w:w="3060"/>
        <w:gridCol w:w="463"/>
        <w:gridCol w:w="1157"/>
        <w:gridCol w:w="1710"/>
        <w:gridCol w:w="3620"/>
        <w:tblGridChange w:id="0">
          <w:tblGrid>
            <w:gridCol w:w="828"/>
            <w:gridCol w:w="1260"/>
            <w:gridCol w:w="1350"/>
            <w:gridCol w:w="3060"/>
            <w:gridCol w:w="463"/>
            <w:gridCol w:w="1157"/>
            <w:gridCol w:w="1710"/>
            <w:gridCol w:w="3620"/>
          </w:tblGrid>
        </w:tblGridChange>
      </w:tblGrid>
      <w:tr>
        <w:trPr>
          <w:trHeight w:val="400" w:hRule="atLeast"/>
        </w:trPr>
        <w:tc>
          <w:tcPr>
            <w:vMerge w:val="restart"/>
          </w:tcPr>
          <w:p w:rsidP="00000000" w:rsidRPr="00000000" w:rsidR="00000000" w:rsidDel="00000000" w:rsidRDefault="00000000">
            <w:pPr>
              <w:ind w:left="113" w:firstLine="0" w:right="113"/>
              <w:contextualSpacing w:val="0"/>
              <w:jc w:val="center"/>
            </w:pPr>
            <w:bookmarkStart w:id="0" w:colFirst="0" w:name="h.gjdgxs" w:colLast="0"/>
            <w:bookmarkEnd w:id="0"/>
            <w:r w:rsidRPr="00000000" w:rsidR="00000000" w:rsidDel="00000000">
              <w:rPr>
                <w:u w:val="single"/>
                <w:rtl w:val="0"/>
              </w:rPr>
              <w:t xml:space="preserve">2</w:t>
            </w:r>
            <w:r w:rsidRPr="00000000" w:rsidR="00000000" w:rsidDel="00000000">
              <w:rPr>
                <w:u w:val="single"/>
                <w:vertAlign w:val="superscript"/>
                <w:rtl w:val="0"/>
              </w:rPr>
              <w:t xml:space="preserve">nd</w:t>
            </w:r>
            <w:r w:rsidRPr="00000000" w:rsidR="00000000" w:rsidDel="00000000">
              <w:rPr>
                <w:u w:val="single"/>
                <w:rtl w:val="0"/>
              </w:rPr>
              <w:t xml:space="preserve"> Trimester</w:t>
            </w:r>
          </w:p>
        </w:tc>
        <w:tc>
          <w:tcPr>
            <w:gridSpan w:val="4"/>
          </w:tcPr>
          <w:p w:rsidP="00000000" w:rsidRPr="00000000" w:rsidR="00000000" w:rsidDel="00000000" w:rsidRDefault="00000000">
            <w:pPr>
              <w:contextualSpacing w:val="0"/>
            </w:pPr>
            <w:r w:rsidRPr="00000000" w:rsidR="00000000" w:rsidDel="00000000">
              <w:rPr>
                <w:u w:val="single"/>
                <w:rtl w:val="0"/>
              </w:rPr>
              <w:t xml:space="preserve">Grade</w:t>
            </w:r>
            <w:r w:rsidRPr="00000000" w:rsidR="00000000" w:rsidDel="00000000">
              <w:rPr>
                <w:rtl w:val="0"/>
              </w:rPr>
              <w:t xml:space="preserve">: 2</w:t>
            </w:r>
          </w:p>
        </w:tc>
        <w:tc>
          <w:tcPr>
            <w:gridSpan w:val="3"/>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5</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rFonts w:cs="Arial" w:hAnsi="Arial" w:eastAsia="Arial" w:ascii="Arial"/>
                <w:sz w:val="20"/>
                <w:u w:val="single"/>
                <w:rtl w:val="0"/>
              </w:rPr>
              <w:t xml:space="preserve">Unit Overview: 3-D and 2-D Shapes </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 </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    This unit contains mathematical terms that may be new to students. The primary purpose of this unit, however, is to develop classification skills, not to teach vocabulary. This objective is accomplished through hands-on activities, in which children observe similarities and differences among various shapes and explore spatial relationships.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Unit 5 has four main areas of focus: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rPr/>
            </w:pPr>
            <w:r w:rsidRPr="00000000" w:rsidR="00000000" w:rsidDel="00000000">
              <w:rPr>
                <w:rFonts w:cs="Arial" w:hAnsi="Arial" w:eastAsia="Arial" w:ascii="Arial"/>
                <w:sz w:val="20"/>
                <w:rtl w:val="0"/>
              </w:rPr>
              <w:t xml:space="preserve">To develop the concepts of point and line segment </w:t>
            </w:r>
          </w:p>
          <w:p w:rsidP="00000000" w:rsidRPr="00000000" w:rsidR="00000000" w:rsidDel="00000000" w:rsidRDefault="00000000">
            <w:pPr>
              <w:numPr>
                <w:ilvl w:val="0"/>
                <w:numId w:val="1"/>
              </w:numPr>
              <w:ind w:left="720" w:hanging="359"/>
              <w:rPr/>
            </w:pPr>
            <w:r w:rsidRPr="00000000" w:rsidR="00000000" w:rsidDel="00000000">
              <w:rPr>
                <w:rFonts w:cs="Arial" w:hAnsi="Arial" w:eastAsia="Arial" w:ascii="Arial"/>
                <w:sz w:val="20"/>
                <w:rtl w:val="0"/>
              </w:rPr>
              <w:t xml:space="preserve">To identify, name, and classify polygons </w:t>
            </w:r>
          </w:p>
          <w:p w:rsidP="00000000" w:rsidRPr="00000000" w:rsidR="00000000" w:rsidDel="00000000" w:rsidRDefault="00000000">
            <w:pPr>
              <w:numPr>
                <w:ilvl w:val="0"/>
                <w:numId w:val="1"/>
              </w:numPr>
              <w:ind w:left="720" w:hanging="359"/>
              <w:rPr/>
            </w:pPr>
            <w:r w:rsidRPr="00000000" w:rsidR="00000000" w:rsidDel="00000000">
              <w:rPr>
                <w:rFonts w:cs="Arial" w:hAnsi="Arial" w:eastAsia="Arial" w:ascii="Arial"/>
                <w:sz w:val="20"/>
                <w:rtl w:val="0"/>
              </w:rPr>
              <w:t xml:space="preserve">To observe similarities and differences among 3-dimensional shapes </w:t>
            </w:r>
          </w:p>
          <w:p w:rsidP="00000000" w:rsidRPr="00000000" w:rsidR="00000000" w:rsidDel="00000000" w:rsidRDefault="00000000">
            <w:pPr>
              <w:numPr>
                <w:ilvl w:val="0"/>
                <w:numId w:val="1"/>
              </w:numPr>
              <w:ind w:left="720" w:hanging="359"/>
              <w:rPr/>
            </w:pPr>
            <w:r w:rsidRPr="00000000" w:rsidR="00000000" w:rsidDel="00000000">
              <w:rPr>
                <w:rFonts w:cs="Arial" w:hAnsi="Arial" w:eastAsia="Arial" w:ascii="Arial"/>
                <w:sz w:val="20"/>
                <w:rtl w:val="0"/>
              </w:rPr>
              <w:t xml:space="preserve">To explore symmetry</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Essential Question</w:t>
            </w:r>
            <w:r w:rsidRPr="00000000" w:rsidR="00000000" w:rsidDel="00000000">
              <w:rPr>
                <w:rtl w:val="0"/>
              </w:rPr>
              <w:t xml:space="preserve">: Where can you find examples of geometrical concepts throughout the natural world?</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u w:val="single"/>
                <w:rtl w:val="0"/>
              </w:rPr>
              <w:t xml:space="preserve">Academic Vocabulary:</w:t>
            </w:r>
            <w:r w:rsidRPr="00000000" w:rsidR="00000000" w:rsidDel="00000000">
              <w:rPr>
                <w:rtl w:val="0"/>
              </w:rPr>
              <w:t xml:space="preserve">  attributes, angles, sides, faces, triangles, quadrilaterals, square, rectangle, parallelogram, rhombus, kite, trapezoid, pentagons, hexagons, cubes, length, number line, diagram, unit, sums, differences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u w:val="single"/>
                <w:rtl w:val="0"/>
              </w:rPr>
              <w:t xml:space="preserve">Lesson</w:t>
            </w:r>
          </w:p>
        </w:tc>
        <w:tc>
          <w:tcPr/>
          <w:p w:rsidP="00000000" w:rsidRPr="00000000" w:rsidR="00000000" w:rsidDel="00000000" w:rsidRDefault="00000000">
            <w:pPr>
              <w:contextualSpacing w:val="0"/>
            </w:pPr>
            <w:r w:rsidRPr="00000000" w:rsidR="00000000" w:rsidDel="00000000">
              <w:rPr>
                <w:u w:val="single"/>
                <w:rtl w:val="0"/>
              </w:rPr>
              <w:t xml:space="preserve">Standard</w:t>
            </w:r>
          </w:p>
        </w:tc>
        <w:tc>
          <w:tcPr/>
          <w:p w:rsidP="00000000" w:rsidRPr="00000000" w:rsidR="00000000" w:rsidDel="00000000" w:rsidRDefault="00000000">
            <w:pPr>
              <w:contextualSpacing w:val="0"/>
            </w:pPr>
            <w:r w:rsidRPr="00000000" w:rsidR="00000000" w:rsidDel="00000000">
              <w:rPr>
                <w:u w:val="single"/>
                <w:rtl w:val="0"/>
              </w:rPr>
              <w:t xml:space="preserve">Guiding Questions</w:t>
            </w:r>
          </w:p>
        </w:tc>
        <w:tc>
          <w:tcPr>
            <w:gridSpan w:val="2"/>
          </w:tcPr>
          <w:p w:rsidP="00000000" w:rsidRPr="00000000" w:rsidR="00000000" w:rsidDel="00000000" w:rsidRDefault="00000000">
            <w:pPr>
              <w:contextualSpacing w:val="0"/>
            </w:pPr>
            <w:r w:rsidRPr="00000000" w:rsidR="00000000" w:rsidDel="00000000">
              <w:rPr>
                <w:u w:val="single"/>
                <w:rtl w:val="0"/>
              </w:rPr>
              <w:t xml:space="preserve">Additional Resources </w:t>
            </w:r>
          </w:p>
        </w:tc>
        <w:tc>
          <w:tcPr/>
          <w:p w:rsidP="00000000" w:rsidRPr="00000000" w:rsidR="00000000" w:rsidDel="00000000" w:rsidRDefault="00000000">
            <w:pPr>
              <w:contextualSpacing w:val="0"/>
            </w:pPr>
            <w:r w:rsidRPr="00000000" w:rsidR="00000000" w:rsidDel="00000000">
              <w:rPr>
                <w:u w:val="single"/>
                <w:rtl w:val="0"/>
              </w:rPr>
              <w:t xml:space="preserve">Differentiation</w:t>
            </w:r>
          </w:p>
        </w:tc>
        <w:tc>
          <w:tcPr/>
          <w:p w:rsidP="00000000" w:rsidRPr="00000000" w:rsidR="00000000" w:rsidDel="00000000" w:rsidRDefault="00000000">
            <w:pPr>
              <w:contextualSpacing w:val="0"/>
            </w:pPr>
            <w:r w:rsidRPr="00000000" w:rsidR="00000000" w:rsidDel="00000000">
              <w:rPr>
                <w:u w:val="single"/>
                <w:rtl w:val="0"/>
              </w:rPr>
              <w:t xml:space="preserve">Students Learning Goals</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5.1</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sz w:val="18"/>
                <w:rtl w:val="0"/>
              </w:rPr>
              <w:t xml:space="preserve">2.NBT.5, 2.NBT.7, 2.G.1,</w:t>
            </w:r>
          </w:p>
          <w:p w:rsidP="00000000" w:rsidRPr="00000000" w:rsidR="00000000" w:rsidDel="00000000" w:rsidRDefault="00000000">
            <w:pPr>
              <w:contextualSpacing w:val="0"/>
            </w:pPr>
            <w:r w:rsidRPr="00000000" w:rsidR="00000000" w:rsidDel="00000000">
              <w:rPr>
                <w:rFonts w:cs="Arial-BoldMT" w:hAnsi="Arial-BoldMT" w:eastAsia="Arial-BoldMT" w:ascii="Arial-BoldMT"/>
                <w:sz w:val="18"/>
                <w:rtl w:val="0"/>
              </w:rPr>
              <w:t xml:space="preserve">2.MD.7</w:t>
            </w:r>
            <w:r w:rsidRPr="00000000" w:rsidR="00000000" w:rsidDel="00000000">
              <w:rPr>
                <w:rtl w:val="0"/>
              </w:rPr>
            </w:r>
          </w:p>
        </w:tc>
        <w:tc>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bl>
            <w:tblPr>
              <w:tblStyle w:val="Table1"/>
              <w:bidiVisual w:val="0"/>
              <w:tblW w:w="2844.0" w:type="dxa"/>
              <w:jc w:val="left"/>
              <w:tblInd w:w="-114.0" w:type="dxa"/>
              <w:tblBorders>
                <w:top w:color="000000" w:space="0" w:val="nil" w:sz="0"/>
                <w:left w:color="000000" w:space="0" w:val="nil" w:sz="0"/>
                <w:bottom w:color="000000" w:space="0" w:val="nil" w:sz="0"/>
                <w:right w:color="000000" w:space="0" w:val="nil" w:sz="0"/>
              </w:tblBorders>
              <w:tblLayout w:type="fixed"/>
              <w:tblLook w:val="0000"/>
            </w:tblPr>
            <w:tblGrid>
              <w:gridCol w:w="2844"/>
              <w:tblGridChange w:id="0">
                <w:tblGrid>
                  <w:gridCol w:w="2844"/>
                </w:tblGrid>
              </w:tblGridChange>
            </w:tblGrid>
            <w:tr>
              <w:trPr>
                <w:trHeight w:val="580" w:hRule="atLeast"/>
              </w:trPr>
              <w:tc>
                <w:tcPr/>
                <w:p w:rsidP="00000000" w:rsidRPr="00000000" w:rsidR="00000000" w:rsidDel="00000000" w:rsidRDefault="00000000">
                  <w:pPr>
                    <w:spacing w:lineRule="auto" w:after="0" w:line="240" w:before="0"/>
                    <w:ind w:left="-115" w:firstLine="0"/>
                    <w:contextualSpacing w:val="0"/>
                  </w:pPr>
                  <w:r w:rsidRPr="00000000" w:rsidR="00000000" w:rsidDel="00000000">
                    <w:rPr>
                      <w:rFonts w:cs="Calibri" w:hAnsi="Calibri" w:eastAsia="Calibri" w:ascii="Calibri"/>
                      <w:b w:val="0"/>
                      <w:color w:val="000000"/>
                      <w:sz w:val="20"/>
                      <w:rtl w:val="0"/>
                    </w:rPr>
                    <w:t xml:space="preserve">Why do you need to learn how to read time on different kinds of clocks (digital and analog)?</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restart"/>
          </w:tcPr>
          <w:p w:rsidP="00000000" w:rsidRPr="00000000" w:rsidR="00000000" w:rsidDel="00000000" w:rsidRDefault="00000000">
            <w:pPr>
              <w:contextualSpacing w:val="0"/>
            </w:pPr>
            <w:r w:rsidRPr="00000000" w:rsidR="00000000" w:rsidDel="00000000">
              <w:rPr>
                <w:sz w:val="20"/>
                <w:rtl w:val="0"/>
              </w:rPr>
              <w:t xml:space="preserve">I can…</w:t>
            </w:r>
          </w:p>
          <w:p w:rsidP="00000000" w:rsidRPr="00000000" w:rsidR="00000000" w:rsidDel="00000000" w:rsidRDefault="00000000">
            <w:pPr>
              <w:numPr>
                <w:ilvl w:val="0"/>
                <w:numId w:val="2"/>
              </w:numPr>
              <w:spacing w:lineRule="auto" w:after="0" w:line="276" w:before="0"/>
              <w:ind w:left="94" w:hanging="179"/>
              <w:contextualSpacing w:val="1"/>
              <w:rPr>
                <w:b w:val="0"/>
                <w:sz w:val="20"/>
              </w:rPr>
            </w:pPr>
            <w:r w:rsidRPr="00000000" w:rsidR="00000000" w:rsidDel="00000000">
              <w:rPr>
                <w:rFonts w:cs="Calibri" w:hAnsi="Calibri" w:eastAsia="Calibri" w:ascii="Calibri"/>
                <w:b w:val="0"/>
                <w:sz w:val="20"/>
                <w:rtl w:val="0"/>
              </w:rPr>
              <w:t xml:space="preserve">Describe the defining attributes of a shape. (2.G.1)</w:t>
            </w:r>
          </w:p>
          <w:p w:rsidP="00000000" w:rsidRPr="00000000" w:rsidR="00000000" w:rsidDel="00000000" w:rsidRDefault="00000000">
            <w:pPr>
              <w:spacing w:lineRule="auto" w:after="0" w:line="276" w:before="0"/>
              <w:ind w:left="94" w:hanging="179"/>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76" w:before="0"/>
              <w:ind w:left="94" w:hanging="179"/>
              <w:contextualSpacing w:val="1"/>
              <w:rPr>
                <w:b w:val="0"/>
                <w:sz w:val="20"/>
              </w:rPr>
            </w:pPr>
            <w:r w:rsidRPr="00000000" w:rsidR="00000000" w:rsidDel="00000000">
              <w:rPr>
                <w:rFonts w:cs="Calibri" w:hAnsi="Calibri" w:eastAsia="Calibri" w:ascii="Calibri"/>
                <w:b w:val="0"/>
                <w:sz w:val="20"/>
                <w:rtl w:val="0"/>
              </w:rPr>
              <w:t xml:space="preserve">Identify triangles, quadrilaterals, pentagons, hexagons, and cubes by their defining attributes. (2.G.1)</w:t>
            </w:r>
          </w:p>
          <w:p w:rsidP="00000000" w:rsidRPr="00000000" w:rsidR="00000000" w:rsidDel="00000000" w:rsidRDefault="00000000">
            <w:pPr>
              <w:spacing w:lineRule="auto" w:after="0" w:line="276" w:before="0"/>
              <w:ind w:left="94" w:hanging="179"/>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76" w:before="0"/>
              <w:ind w:left="94" w:hanging="179"/>
              <w:contextualSpacing w:val="1"/>
              <w:rPr>
                <w:b w:val="0"/>
                <w:sz w:val="20"/>
              </w:rPr>
            </w:pPr>
            <w:r w:rsidRPr="00000000" w:rsidR="00000000" w:rsidDel="00000000">
              <w:rPr>
                <w:rFonts w:cs="Calibri" w:hAnsi="Calibri" w:eastAsia="Calibri" w:ascii="Calibri"/>
                <w:b w:val="0"/>
                <w:sz w:val="20"/>
                <w:rtl w:val="0"/>
              </w:rPr>
              <w:t xml:space="preserve">Draw a given shape when given defining attributes. (2.G.1)</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0" w:line="276" w:before="0"/>
              <w:ind w:left="94" w:hanging="179"/>
              <w:contextualSpacing w:val="1"/>
              <w:rPr>
                <w:b w:val="0"/>
                <w:sz w:val="20"/>
              </w:rPr>
            </w:pPr>
            <w:r w:rsidRPr="00000000" w:rsidR="00000000" w:rsidDel="00000000">
              <w:rPr>
                <w:rFonts w:cs="Calibri" w:hAnsi="Calibri" w:eastAsia="Calibri" w:ascii="Calibri"/>
                <w:b w:val="0"/>
                <w:sz w:val="20"/>
                <w:rtl w:val="0"/>
              </w:rPr>
              <w:t xml:space="preserve">Solve addition and subtraction word problems involving lengths of the same units. (2.MD.6)</w:t>
            </w:r>
          </w:p>
          <w:p w:rsidP="00000000" w:rsidRPr="00000000" w:rsidR="00000000" w:rsidDel="00000000" w:rsidRDefault="00000000">
            <w:pPr>
              <w:spacing w:lineRule="auto" w:after="0" w:line="276" w:before="0"/>
              <w:ind w:left="94" w:firstLine="0"/>
              <w:contextualSpacing w:val="0"/>
            </w:pPr>
            <w:r w:rsidRPr="00000000" w:rsidR="00000000" w:rsidDel="00000000">
              <w:rPr>
                <w:rtl w:val="0"/>
              </w:rPr>
            </w:r>
          </w:p>
          <w:p w:rsidP="00000000" w:rsidRPr="00000000" w:rsidR="00000000" w:rsidDel="00000000" w:rsidRDefault="00000000">
            <w:pPr>
              <w:numPr>
                <w:ilvl w:val="0"/>
                <w:numId w:val="3"/>
              </w:numPr>
              <w:spacing w:lineRule="auto" w:after="200" w:line="276" w:before="0"/>
              <w:ind w:left="94" w:hanging="179"/>
              <w:contextualSpacing w:val="1"/>
              <w:rPr>
                <w:b w:val="0"/>
                <w:sz w:val="20"/>
              </w:rPr>
            </w:pPr>
            <w:r w:rsidRPr="00000000" w:rsidR="00000000" w:rsidDel="00000000">
              <w:rPr>
                <w:rFonts w:cs="Calibri" w:hAnsi="Calibri" w:eastAsia="Calibri" w:ascii="Calibri"/>
                <w:b w:val="0"/>
                <w:sz w:val="20"/>
                <w:rtl w:val="0"/>
              </w:rPr>
              <w:t xml:space="preserve">Represent the problem using drawings and equations with a symbol for the unknown number. (2.MD.6)</w:t>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5.2</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sz w:val="18"/>
                <w:rtl w:val="0"/>
              </w:rPr>
              <w:t xml:space="preserve">2.OA.1, 2.OA.2</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What geometric figures could you draw using line segments?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What other geometric figures could you use a straightedge to draw?</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5.3</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2.MD.6, 2.G.1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Where might you see examples of parallel lines outside of school?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What other geometric figures could have parallel lines?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5.4</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sz w:val="18"/>
                <w:rtl w:val="0"/>
              </w:rPr>
              <w:t xml:space="preserve">2.OA.4</w:t>
            </w:r>
            <w:r w:rsidRPr="00000000" w:rsidR="00000000" w:rsidDel="00000000">
              <w:rPr>
                <w:rFonts w:cs="Arial-BoldMT" w:hAnsi="Arial-BoldMT" w:eastAsia="Arial-BoldMT" w:ascii="Arial-BoldMT"/>
                <w:b w:val="1"/>
                <w:sz w:val="18"/>
                <w:rtl w:val="0"/>
              </w:rPr>
              <w:t xml:space="preserve">, 2.G.1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5.5</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sz w:val="18"/>
                <w:rtl w:val="0"/>
              </w:rPr>
              <w:t xml:space="preserve">2.OA.2</w:t>
            </w:r>
            <w:r w:rsidRPr="00000000" w:rsidR="00000000" w:rsidDel="00000000">
              <w:rPr>
                <w:rFonts w:cs="Arial-BoldMT" w:hAnsi="Arial-BoldMT" w:eastAsia="Arial-BoldMT" w:ascii="Arial-BoldMT"/>
                <w:b w:val="1"/>
                <w:sz w:val="18"/>
                <w:rtl w:val="0"/>
              </w:rPr>
              <w:t xml:space="preserve">, 2.G.1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Is a square a rectangle? Is a rectangle a square? Why or why not?</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5.6</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b w:val="1"/>
                <w:sz w:val="18"/>
                <w:rtl w:val="0"/>
              </w:rPr>
              <w:t xml:space="preserve">2.G.1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Why do you think we compare 3-D shapes? How could these comparisons help you?</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Why might someone need to know the geometric name of a 3-D shape in the real world?</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5.7</w:t>
            </w:r>
          </w:p>
        </w:tc>
        <w:tc>
          <w:tcPr/>
          <w:p w:rsidP="00000000" w:rsidRPr="00000000" w:rsidR="00000000" w:rsidDel="00000000" w:rsidRDefault="00000000">
            <w:pPr>
              <w:contextualSpacing w:val="0"/>
            </w:pPr>
            <w:r w:rsidRPr="00000000" w:rsidR="00000000" w:rsidDel="00000000">
              <w:rPr>
                <w:rFonts w:cs="Arial-BoldMT" w:hAnsi="Arial-BoldMT" w:eastAsia="Arial-BoldMT" w:ascii="Arial-BoldMT"/>
                <w:sz w:val="18"/>
                <w:rtl w:val="0"/>
              </w:rPr>
              <w:t xml:space="preserve">2.OA.2</w:t>
            </w:r>
            <w:r w:rsidRPr="00000000" w:rsidR="00000000" w:rsidDel="00000000">
              <w:rPr>
                <w:rFonts w:cs="Arial-BoldMT" w:hAnsi="Arial-BoldMT" w:eastAsia="Arial-BoldMT" w:ascii="Arial-BoldMT"/>
                <w:b w:val="1"/>
                <w:sz w:val="18"/>
                <w:rtl w:val="0"/>
              </w:rPr>
              <w:t xml:space="preserve">, 2.G.1</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Why do we look for patterns in math?</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t xml:space="preserve">5.8</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20"/>
                <w:rtl w:val="0"/>
              </w:rPr>
              <w:t xml:space="preserve">What are some ways to find out whether an object has a line of symmetry?</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160" w:hRule="atLeast"/>
        </w:trPr>
        <w:tc>
          <w:tcPr>
            <w:gridSpan w:val="8"/>
          </w:tcPr>
          <w:p w:rsidP="00000000" w:rsidRPr="00000000" w:rsidR="00000000" w:rsidDel="00000000" w:rsidRDefault="00000000">
            <w:pPr>
              <w:contextualSpacing w:val="0"/>
              <w:jc w:val="center"/>
            </w:pPr>
            <w:r w:rsidRPr="00000000" w:rsidR="00000000" w:rsidDel="00000000">
              <w:rPr>
                <w:u w:val="single"/>
                <w:rtl w:val="0"/>
              </w:rPr>
              <w:t xml:space="preserve">Assessments</w:t>
            </w:r>
          </w:p>
          <w:p w:rsidP="00000000" w:rsidRPr="00000000" w:rsidR="00000000" w:rsidDel="00000000" w:rsidRDefault="00000000">
            <w:pPr>
              <w:contextualSpacing w:val="0"/>
              <w:jc w:val="center"/>
            </w:pPr>
            <w:r w:rsidRPr="00000000" w:rsidR="00000000" w:rsidDel="00000000">
              <w:rPr>
                <w:rtl w:val="0"/>
              </w:rPr>
              <w:t xml:space="preserve">Unit 5 Progress Check</w:t>
            </w:r>
          </w:p>
        </w:tc>
      </w:tr>
    </w:tbl>
    <w:p w:rsidP="00000000" w:rsidRPr="00000000" w:rsidR="00000000" w:rsidDel="00000000" w:rsidRDefault="00000000">
      <w:pPr>
        <w:contextualSpacing w:val="0"/>
      </w:pPr>
      <w:r w:rsidRPr="00000000" w:rsidR="00000000" w:rsidDel="00000000">
        <w:rPr>
          <w:rtl w:val="0"/>
        </w:rPr>
      </w:r>
    </w:p>
    <w:sectPr>
      <w:headerReference r:id="rId5" w:type="default"/>
      <w:pgSz w:w="15840" w:h="122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BoldMT"/>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Fonts w:cs="Calibri" w:hAnsi="Calibri" w:eastAsia="Calibri" w:ascii="Calibri"/>
        <w:b w:val="0"/>
        <w:sz w:val="32"/>
        <w:rtl w:val="0"/>
      </w:rPr>
      <w:t xml:space="preserve">Rockford Public Schools</w:t>
    </w:r>
  </w: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Fonts w:cs="Calibri" w:hAnsi="Calibri" w:eastAsia="Calibri" w:ascii="Calibri"/>
        <w:b w:val="0"/>
        <w:sz w:val="32"/>
        <w:rtl w:val="0"/>
      </w:rPr>
      <w:t xml:space="preserve">Content Area: Math</w:t>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sz w:val="20"/>
      </w:rPr>
    </w:lvl>
    <w:lvl w:ilvl="1">
      <w:start w:val="1"/>
      <w:numFmt w:val="bullet"/>
      <w:lvlText w:val="o"/>
      <w:lvlJc w:val="left"/>
      <w:pPr>
        <w:ind w:left="1440" w:firstLine="1080"/>
      </w:pPr>
      <w:rPr>
        <w:rFonts w:cs="Arial" w:hAnsi="Arial" w:eastAsia="Arial" w:ascii="Arial"/>
        <w:sz w:val="20"/>
      </w:rPr>
    </w:lvl>
    <w:lvl w:ilvl="2">
      <w:start w:val="1"/>
      <w:numFmt w:val="bullet"/>
      <w:lvlText w:val="▪"/>
      <w:lvlJc w:val="left"/>
      <w:pPr>
        <w:ind w:left="2160" w:firstLine="1800"/>
      </w:pPr>
      <w:rPr>
        <w:rFonts w:cs="Arial" w:hAnsi="Arial" w:eastAsia="Arial" w:ascii="Arial"/>
        <w:sz w:val="20"/>
      </w:rPr>
    </w:lvl>
    <w:lvl w:ilvl="3">
      <w:start w:val="1"/>
      <w:numFmt w:val="bullet"/>
      <w:lvlText w:val="▪"/>
      <w:lvlJc w:val="left"/>
      <w:pPr>
        <w:ind w:left="2880" w:firstLine="2520"/>
      </w:pPr>
      <w:rPr>
        <w:rFonts w:cs="Arial" w:hAnsi="Arial" w:eastAsia="Arial" w:ascii="Arial"/>
        <w:sz w:val="20"/>
      </w:rPr>
    </w:lvl>
    <w:lvl w:ilvl="4">
      <w:start w:val="1"/>
      <w:numFmt w:val="bullet"/>
      <w:lvlText w:val="▪"/>
      <w:lvlJc w:val="left"/>
      <w:pPr>
        <w:ind w:left="3600" w:firstLine="3240"/>
      </w:pPr>
      <w:rPr>
        <w:rFonts w:cs="Arial" w:hAnsi="Arial" w:eastAsia="Arial" w:ascii="Arial"/>
        <w:sz w:val="20"/>
      </w:rPr>
    </w:lvl>
    <w:lvl w:ilvl="5">
      <w:start w:val="1"/>
      <w:numFmt w:val="bullet"/>
      <w:lvlText w:val="▪"/>
      <w:lvlJc w:val="left"/>
      <w:pPr>
        <w:ind w:left="4320" w:firstLine="3960"/>
      </w:pPr>
      <w:rPr>
        <w:rFonts w:cs="Arial" w:hAnsi="Arial" w:eastAsia="Arial" w:ascii="Arial"/>
        <w:sz w:val="20"/>
      </w:rPr>
    </w:lvl>
    <w:lvl w:ilvl="6">
      <w:start w:val="1"/>
      <w:numFmt w:val="bullet"/>
      <w:lvlText w:val="▪"/>
      <w:lvlJc w:val="left"/>
      <w:pPr>
        <w:ind w:left="5040" w:firstLine="4680"/>
      </w:pPr>
      <w:rPr>
        <w:rFonts w:cs="Arial" w:hAnsi="Arial" w:eastAsia="Arial" w:ascii="Arial"/>
        <w:sz w:val="20"/>
      </w:rPr>
    </w:lvl>
    <w:lvl w:ilvl="7">
      <w:start w:val="1"/>
      <w:numFmt w:val="bullet"/>
      <w:lvlText w:val="▪"/>
      <w:lvlJc w:val="left"/>
      <w:pPr>
        <w:ind w:left="5760" w:firstLine="5400"/>
      </w:pPr>
      <w:rPr>
        <w:rFonts w:cs="Arial" w:hAnsi="Arial" w:eastAsia="Arial" w:ascii="Arial"/>
        <w:sz w:val="20"/>
      </w:rPr>
    </w:lvl>
    <w:lvl w:ilvl="8">
      <w:start w:val="1"/>
      <w:numFmt w:val="bullet"/>
      <w:lvlText w:val="▪"/>
      <w:lvlJc w:val="left"/>
      <w:pPr>
        <w:ind w:left="6480" w:firstLine="6120"/>
      </w:pPr>
      <w:rPr>
        <w:rFonts w:cs="Arial" w:hAnsi="Arial" w:eastAsia="Arial" w:ascii="Arial"/>
        <w:sz w:val="20"/>
      </w:rPr>
    </w:lvl>
  </w:abstractNum>
  <w:abstractNum w:abstractNumId="2">
    <w:lvl w:ilvl="0">
      <w:start w:val="1"/>
      <w:numFmt w:val="bullet"/>
      <w:lvlText w:val="●"/>
      <w:lvlJc w:val="left"/>
      <w:pPr>
        <w:ind w:left="634" w:firstLine="274"/>
      </w:pPr>
      <w:rPr>
        <w:rFonts w:cs="Arial" w:hAnsi="Arial" w:eastAsia="Arial" w:ascii="Arial"/>
      </w:rPr>
    </w:lvl>
    <w:lvl w:ilvl="1">
      <w:start w:val="1"/>
      <w:numFmt w:val="bullet"/>
      <w:lvlText w:val="o"/>
      <w:lvlJc w:val="left"/>
      <w:pPr>
        <w:ind w:left="1354" w:firstLine="994"/>
      </w:pPr>
      <w:rPr>
        <w:rFonts w:cs="Arial" w:hAnsi="Arial" w:eastAsia="Arial" w:ascii="Arial"/>
      </w:rPr>
    </w:lvl>
    <w:lvl w:ilvl="2">
      <w:start w:val="1"/>
      <w:numFmt w:val="bullet"/>
      <w:lvlText w:val="▪"/>
      <w:lvlJc w:val="left"/>
      <w:pPr>
        <w:ind w:left="2074" w:firstLine="1714"/>
      </w:pPr>
      <w:rPr>
        <w:rFonts w:cs="Arial" w:hAnsi="Arial" w:eastAsia="Arial" w:ascii="Arial"/>
      </w:rPr>
    </w:lvl>
    <w:lvl w:ilvl="3">
      <w:start w:val="1"/>
      <w:numFmt w:val="bullet"/>
      <w:lvlText w:val="●"/>
      <w:lvlJc w:val="left"/>
      <w:pPr>
        <w:ind w:left="2794" w:firstLine="2434"/>
      </w:pPr>
      <w:rPr>
        <w:rFonts w:cs="Arial" w:hAnsi="Arial" w:eastAsia="Arial" w:ascii="Arial"/>
      </w:rPr>
    </w:lvl>
    <w:lvl w:ilvl="4">
      <w:start w:val="1"/>
      <w:numFmt w:val="bullet"/>
      <w:lvlText w:val="o"/>
      <w:lvlJc w:val="left"/>
      <w:pPr>
        <w:ind w:left="3514" w:firstLine="3154"/>
      </w:pPr>
      <w:rPr>
        <w:rFonts w:cs="Arial" w:hAnsi="Arial" w:eastAsia="Arial" w:ascii="Arial"/>
      </w:rPr>
    </w:lvl>
    <w:lvl w:ilvl="5">
      <w:start w:val="1"/>
      <w:numFmt w:val="bullet"/>
      <w:lvlText w:val="▪"/>
      <w:lvlJc w:val="left"/>
      <w:pPr>
        <w:ind w:left="4234" w:firstLine="3874"/>
      </w:pPr>
      <w:rPr>
        <w:rFonts w:cs="Arial" w:hAnsi="Arial" w:eastAsia="Arial" w:ascii="Arial"/>
      </w:rPr>
    </w:lvl>
    <w:lvl w:ilvl="6">
      <w:start w:val="1"/>
      <w:numFmt w:val="bullet"/>
      <w:lvlText w:val="●"/>
      <w:lvlJc w:val="left"/>
      <w:pPr>
        <w:ind w:left="4954" w:firstLine="4594"/>
      </w:pPr>
      <w:rPr>
        <w:rFonts w:cs="Arial" w:hAnsi="Arial" w:eastAsia="Arial" w:ascii="Arial"/>
      </w:rPr>
    </w:lvl>
    <w:lvl w:ilvl="7">
      <w:start w:val="1"/>
      <w:numFmt w:val="bullet"/>
      <w:lvlText w:val="o"/>
      <w:lvlJc w:val="left"/>
      <w:pPr>
        <w:ind w:left="5674" w:firstLine="5314"/>
      </w:pPr>
      <w:rPr>
        <w:rFonts w:cs="Arial" w:hAnsi="Arial" w:eastAsia="Arial" w:ascii="Arial"/>
      </w:rPr>
    </w:lvl>
    <w:lvl w:ilvl="8">
      <w:start w:val="1"/>
      <w:numFmt w:val="bullet"/>
      <w:lvlText w:val="▪"/>
      <w:lvlJc w:val="left"/>
      <w:pPr>
        <w:ind w:left="6394" w:firstLine="6034"/>
      </w:pPr>
      <w:rPr>
        <w:rFonts w:cs="Arial" w:hAnsi="Arial" w:eastAsia="Arial" w:ascii="Arial"/>
      </w:rPr>
    </w:lvl>
  </w:abstractNum>
  <w:abstractNum w:abstractNumId="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Grade Math Curriculum Map Unit 5.docx</dc:title>
</cp:coreProperties>
</file>