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3"/>
        <w:bidiVisual w:val="0"/>
        <w:tblW w:w="1344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828"/>
        <w:gridCol w:w="990"/>
        <w:gridCol w:w="1170"/>
        <w:gridCol w:w="2970"/>
        <w:gridCol w:w="1003"/>
        <w:gridCol w:w="887"/>
        <w:gridCol w:w="1800"/>
        <w:gridCol w:w="3800"/>
        <w:tblGridChange w:id="0">
          <w:tblGrid>
            <w:gridCol w:w="828"/>
            <w:gridCol w:w="990"/>
            <w:gridCol w:w="1170"/>
            <w:gridCol w:w="2970"/>
            <w:gridCol w:w="1003"/>
            <w:gridCol w:w="887"/>
            <w:gridCol w:w="1800"/>
            <w:gridCol w:w="3800"/>
          </w:tblGrid>
        </w:tblGridChange>
      </w:tblGrid>
      <w:tr>
        <w:trPr>
          <w:trHeight w:val="40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  <w:jc w:val="center"/>
            </w:pPr>
            <w:bookmarkStart w:id="0" w:colFirst="0" w:name="h.gjdgxs" w:colLast="0"/>
            <w:bookmarkEnd w:id="0"/>
            <w:r w:rsidRPr="00000000" w:rsidR="00000000" w:rsidDel="00000000">
              <w:rPr>
                <w:u w:val="single"/>
                <w:rtl w:val="0"/>
              </w:rPr>
              <w:t xml:space="preserve">2</w:t>
            </w:r>
            <w:r w:rsidRPr="00000000" w:rsidR="00000000" w:rsidDel="00000000">
              <w:rPr>
                <w:u w:val="single"/>
                <w:vertAlign w:val="superscript"/>
                <w:rtl w:val="0"/>
              </w:rPr>
              <w:t xml:space="preserve">nd</w:t>
            </w:r>
            <w:r w:rsidRPr="00000000" w:rsidR="00000000" w:rsidDel="00000000">
              <w:rPr>
                <w:u w:val="single"/>
                <w:rtl w:val="0"/>
              </w:rPr>
              <w:t xml:space="preserve"> Trimester</w:t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rtl w:val="0"/>
              </w:rPr>
              <w:t xml:space="preserve">: 2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rtl w:val="0"/>
              </w:rPr>
              <w:t xml:space="preserve">:  3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Unit Overview: Place Value, Money, and Time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    Unit 3 continues the review and extension of topics introduced in first grade: numeration and place value, money, time, and data collection and analysis.  Few children will have mastered these concepts as a result of their first grade experiences.  As usual, activities will be lively and at a brisk pace.  These topics will be brought up repeatedly in review exercises and in other opportunities throughout the school day.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Unit 3 has four main areas of focus: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rPr/>
            </w:pPr>
            <w:r w:rsidRPr="00000000" w:rsidR="00000000" w:rsidDel="00000000">
              <w:rPr>
                <w:rtl w:val="0"/>
              </w:rPr>
              <w:t xml:space="preserve">To review place value in 2-digit and 3-digit numbers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rPr/>
            </w:pPr>
            <w:r w:rsidRPr="00000000" w:rsidR="00000000" w:rsidDel="00000000">
              <w:rPr>
                <w:rtl w:val="0"/>
              </w:rPr>
              <w:t xml:space="preserve">To review coin values and exchanges among coins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rPr/>
            </w:pPr>
            <w:r w:rsidRPr="00000000" w:rsidR="00000000" w:rsidDel="00000000">
              <w:rPr>
                <w:rtl w:val="0"/>
              </w:rPr>
              <w:t xml:space="preserve">To tell time and to write time in digital clock notation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rPr/>
            </w:pPr>
            <w:r w:rsidRPr="00000000" w:rsidR="00000000" w:rsidDel="00000000">
              <w:rPr>
                <w:rtl w:val="0"/>
              </w:rPr>
              <w:t xml:space="preserve">To gather data by counting and to analyze data</w:t>
            </w:r>
            <w:r w:rsidRPr="00000000" w:rsidR="00000000" w:rsidDel="00000000">
              <w:rPr>
                <w:sz w:val="16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rtl w:val="0"/>
              </w:rPr>
              <w:t xml:space="preserve">:  How can you apply your knowledge of money and time on a daily basis?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Academic Vocabulary:</w:t>
            </w:r>
            <w:r w:rsidRPr="00000000" w:rsidR="00000000" w:rsidDel="00000000">
              <w:rPr>
                <w:rtl w:val="0"/>
              </w:rPr>
              <w:t xml:space="preserve">  place value, expanded form, greater than, less than, equal to, analogue clock, digital clock, a.m./p.m, dollars, cents, quarters, dimes, nickels, pennies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Guiding Questions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Additional Resources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Differentiation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Students Learning Goals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3.1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2.NBT.1a,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2.NBT.2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, 2.NBT.3,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2.NBT.4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3"/>
              <w:bidiVisual w:val="0"/>
              <w:tblW w:w="2754.0" w:type="dxa"/>
              <w:jc w:val="left"/>
              <w:tblInd w:w="-114.0" w:type="dxa"/>
              <w:tblBorders>
                <w:top w:color="000000" w:space="0" w:val="nil" w:sz="0"/>
                <w:left w:color="000000" w:space="0" w:val="nil" w:sz="0"/>
                <w:bottom w:color="000000" w:space="0" w:val="nil" w:sz="0"/>
                <w:right w:color="000000" w:space="0" w:val="nil" w:sz="0"/>
              </w:tblBorders>
              <w:tblLayout w:type="fixed"/>
              <w:tblLook w:val="0000"/>
            </w:tblPr>
            <w:tblGrid>
              <w:gridCol w:w="2754"/>
              <w:tblGridChange w:id="0">
                <w:tblGrid>
                  <w:gridCol w:w="2754"/>
                </w:tblGrid>
              </w:tblGridChange>
            </w:tblGrid>
            <w:tr>
              <w:trPr>
                <w:trHeight w:val="580" w:hRule="atLeast"/>
              </w:trPr>
              <w:tc>
                <w:tcPr/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-115" w:firstLine="0"/>
                    <w:contextualSpacing w:val="0"/>
                  </w:pPr>
                  <w:r w:rsidRPr="00000000" w:rsidR="00000000" w:rsidDel="00000000">
                    <w:rPr>
                      <w:rFonts w:cs="Calibri" w:hAnsi="Calibri" w:eastAsia="Calibri" w:ascii="Calibri"/>
                      <w:b w:val="0"/>
                      <w:color w:val="000000"/>
                      <w:sz w:val="20"/>
                      <w:rtl w:val="0"/>
                    </w:rPr>
                    <w:t xml:space="preserve">How might base-10 blocks be used to show numbers? </w:t>
                  </w:r>
                </w:p>
                <w:tbl>
                  <w:tblPr>
                    <w:tblStyle w:val="Table2"/>
                    <w:bidiVisual w:val="0"/>
                    <w:tblW w:w="2538.0" w:type="dxa"/>
                    <w:jc w:val="left"/>
                    <w:tblInd w:w="-114.0" w:type="dxa"/>
                    <w:tblBorders>
                      <w:top w:color="000000" w:space="0" w:val="nil" w:sz="0"/>
                      <w:left w:color="000000" w:space="0" w:val="nil" w:sz="0"/>
                      <w:bottom w:color="000000" w:space="0" w:val="nil" w:sz="0"/>
                      <w:right w:color="000000" w:space="0" w:val="nil" w:sz="0"/>
                    </w:tblBorders>
                    <w:tblLayout w:type="fixed"/>
                    <w:tblLook w:val="0000"/>
                  </w:tblPr>
                  <w:tblGrid>
                    <w:gridCol w:w="2538"/>
                    <w:tblGridChange w:id="0">
                      <w:tblGrid>
                        <w:gridCol w:w="2538"/>
                      </w:tblGrid>
                    </w:tblGridChange>
                  </w:tblGrid>
                  <w:tr>
                    <w:trPr>
                      <w:trHeight w:val="860" w:hRule="atLeast"/>
                    </w:trPr>
                    <w:tc>
                      <w:tcPr/>
                      <w:p w:rsidP="00000000" w:rsidRPr="00000000" w:rsidR="00000000" w:rsidDel="00000000" w:rsidRDefault="00000000">
                        <w:pPr>
                          <w:spacing w:lineRule="auto" w:after="0" w:line="240" w:before="0"/>
                          <w:ind w:left="-115" w:firstLine="0"/>
                          <w:contextualSpacing w:val="0"/>
                        </w:pPr>
                        <w:r w:rsidRPr="00000000" w:rsidR="00000000" w:rsidDel="00000000">
                          <w:rPr>
                            <w:rtl w:val="0"/>
                          </w:rPr>
                        </w:r>
                      </w:p>
                      <w:p w:rsidP="00000000" w:rsidRPr="00000000" w:rsidR="00000000" w:rsidDel="00000000" w:rsidRDefault="00000000">
                        <w:pPr>
                          <w:spacing w:lineRule="auto" w:after="0" w:line="240" w:before="0"/>
                          <w:ind w:left="-115" w:firstLine="0"/>
                          <w:contextualSpacing w:val="0"/>
                        </w:pPr>
                        <w:r w:rsidRPr="00000000" w:rsidR="00000000" w:rsidDel="00000000">
                          <w:rPr>
                            <w:rFonts w:cs="Calibri" w:hAnsi="Calibri" w:eastAsia="Calibri" w:ascii="Calibri"/>
                            <w:b w:val="0"/>
                            <w:color w:val="000000"/>
                            <w:sz w:val="20"/>
                            <w:rtl w:val="0"/>
                          </w:rPr>
                          <w:t xml:space="preserve">Why is it helpful to be able to show numbers in different ways? </w:t>
                        </w:r>
                      </w:p>
                      <w:p w:rsidP="00000000" w:rsidRPr="00000000" w:rsidR="00000000" w:rsidDel="00000000" w:rsidRDefault="00000000">
                        <w:pPr>
                          <w:spacing w:lineRule="auto" w:after="0" w:line="240" w:before="0"/>
                          <w:ind w:left="-115" w:firstLine="0"/>
                          <w:contextualSpacing w:val="0"/>
                        </w:pPr>
                        <w:r w:rsidRPr="00000000" w:rsidR="00000000" w:rsidDel="00000000">
                          <w:rPr>
                            <w:rtl w:val="0"/>
                          </w:rPr>
                        </w:r>
                      </w:p>
                      <w:tbl>
                        <w:tblPr>
                          <w:tblStyle w:val="Table1"/>
                          <w:bidiVisual w:val="0"/>
                          <w:tblW w:w="2322.0" w:type="dxa"/>
                          <w:jc w:val="left"/>
                          <w:tblInd w:w="-114.0" w:type="dxa"/>
                          <w:tblBorders>
                            <w:top w:color="000000" w:space="0" w:val="nil" w:sz="0"/>
                            <w:left w:color="000000" w:space="0" w:val="nil" w:sz="0"/>
                            <w:bottom w:color="000000" w:space="0" w:val="nil" w:sz="0"/>
                            <w:right w:color="000000" w:space="0" w:val="nil" w:sz="0"/>
                          </w:tblBorders>
                          <w:tblLayout w:type="fixed"/>
                          <w:tblLook w:val="0000"/>
                        </w:tblPr>
                        <w:tblGrid>
                          <w:gridCol w:w="2322"/>
                          <w:tblGridChange w:id="0">
                            <w:tblGrid>
                              <w:gridCol w:w="2322"/>
                            </w:tblGrid>
                          </w:tblGridChange>
                        </w:tblGrid>
                        <w:tr>
                          <w:trPr>
                            <w:trHeight w:val="860" w:hRule="atLeast"/>
                          </w:trPr>
                          <w:tc>
                            <w:tcPr/>
                            <w:p w:rsidP="00000000" w:rsidRPr="00000000" w:rsidR="00000000" w:rsidDel="00000000" w:rsidRDefault="00000000">
                              <w:pPr>
                                <w:spacing w:lineRule="auto" w:after="0" w:line="240" w:before="0"/>
                                <w:ind w:left="-115" w:firstLine="0"/>
                                <w:contextualSpacing w:val="0"/>
                              </w:pPr>
                              <w:r w:rsidRPr="00000000" w:rsidR="00000000" w:rsidDel="00000000">
                                <w:rPr>
                                  <w:rFonts w:cs="Calibri" w:hAnsi="Calibri" w:eastAsia="Calibri" w:ascii="Calibri"/>
                                  <w:b w:val="0"/>
                                  <w:color w:val="000000"/>
                                  <w:sz w:val="20"/>
                                  <w:rtl w:val="0"/>
                                </w:rPr>
                                <w:t xml:space="preserve">Describe a time when you’ve helped someone else in math. </w:t>
                              </w:r>
                            </w:p>
                          </w:tc>
                        </w:tr>
                      </w:tbl>
                      <w:p w:rsidP="00000000" w:rsidRPr="00000000" w:rsidR="00000000" w:rsidDel="00000000" w:rsidRDefault="00000000">
                        <w:pPr>
                          <w:spacing w:lineRule="auto" w:after="0" w:line="240" w:before="0"/>
                          <w:ind w:left="-115" w:firstLine="0"/>
                          <w:contextualSpacing w:val="0"/>
                        </w:pPr>
                        <w:r w:rsidRPr="00000000" w:rsidR="00000000" w:rsidDel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-115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can…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94" w:hanging="179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Describe a hundred as a bundle of ten tens. (2.NBT.1)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94" w:hanging="179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94" w:hanging="179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Explain that the digits of a 3-digit number represent amounts of hundreds, tens, and ones. (2.NBT.1)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94" w:hanging="179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94" w:hanging="179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Recognize a number in the hundreds. (2.NBT.1)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94" w:hanging="179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Read and write numbers up to 1,000 using a number (635), a number name (six hundred thirty five), or in expanded form (600+30+5). (2.NBT.3)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94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94" w:hanging="179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Compare two 3-digit numbers based on the digits in the hundreds, tens, and ones place. (2.NBT.4)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4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94" w:hanging="179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Use the symbols &lt;, &gt;, = to describe the comparison of two 3-digit numbers. (2.NBT.4)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94" w:hanging="179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Tell and write time from analog and digital clocks to the nearest five minutes using the terms a.m. and p.m. (2.MD.7)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4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94" w:hanging="216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Understand the use of special terms such as half past, quarter after/past, quarter to, minutes to, and minutes after/past. (2.MD.7)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94" w:hanging="216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Identify and give the value of dollar bills, quarters, dimes, nickels, and pennies. (2.MD.8)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94" w:hanging="216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Use $ (dollar) and cents symbol appropriately. (2.MD.8)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94" w:hanging="216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Solve a word problem with dollar bills, quarters, dimes, nickels, and pennies. (2.MD.8)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94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3.2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2.NBT.2,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 2.MD.8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5"/>
              <w:bidiVisual w:val="0"/>
              <w:tblW w:w="2754.0" w:type="dxa"/>
              <w:jc w:val="left"/>
              <w:tblInd w:w="-114.0" w:type="dxa"/>
              <w:tblBorders>
                <w:top w:color="000000" w:space="0" w:val="nil" w:sz="0"/>
                <w:left w:color="000000" w:space="0" w:val="nil" w:sz="0"/>
                <w:bottom w:color="000000" w:space="0" w:val="nil" w:sz="0"/>
                <w:right w:color="000000" w:space="0" w:val="nil" w:sz="0"/>
              </w:tblBorders>
              <w:tblLayout w:type="fixed"/>
              <w:tblLook w:val="0000"/>
            </w:tblPr>
            <w:tblGrid>
              <w:gridCol w:w="2754"/>
              <w:tblGridChange w:id="0">
                <w:tblGrid>
                  <w:gridCol w:w="2754"/>
                </w:tblGrid>
              </w:tblGridChange>
            </w:tblGrid>
            <w:tr>
              <w:trPr>
                <w:trHeight w:val="860" w:hRule="atLeast"/>
              </w:trPr>
              <w:tc>
                <w:tcPr/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Fonts w:cs="Calibri" w:hAnsi="Calibri" w:eastAsia="Calibri" w:ascii="Calibri"/>
                      <w:b w:val="0"/>
                      <w:color w:val="000000"/>
                      <w:sz w:val="20"/>
                      <w:rtl w:val="0"/>
                    </w:rPr>
                    <w:t xml:space="preserve">How could it be helpful to solve problems in more than one way? </w:t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tbl>
                  <w:tblPr>
                    <w:tblStyle w:val="Table4"/>
                    <w:bidiVisual w:val="0"/>
                    <w:tblW w:w="2538.0" w:type="dxa"/>
                    <w:jc w:val="left"/>
                    <w:tblInd w:w="-114.0" w:type="dxa"/>
                    <w:tblBorders>
                      <w:top w:color="000000" w:space="0" w:val="nil" w:sz="0"/>
                      <w:left w:color="000000" w:space="0" w:val="nil" w:sz="0"/>
                      <w:bottom w:color="000000" w:space="0" w:val="nil" w:sz="0"/>
                      <w:right w:color="000000" w:space="0" w:val="nil" w:sz="0"/>
                    </w:tblBorders>
                    <w:tblLayout w:type="fixed"/>
                    <w:tblLook w:val="0000"/>
                  </w:tblPr>
                  <w:tblGrid>
                    <w:gridCol w:w="2538"/>
                    <w:tblGridChange w:id="0">
                      <w:tblGrid>
                        <w:gridCol w:w="2538"/>
                      </w:tblGrid>
                    </w:tblGridChange>
                  </w:tblGrid>
                  <w:tr>
                    <w:trPr>
                      <w:trHeight w:val="860" w:hRule="atLeast"/>
                    </w:trPr>
                    <w:tc>
                      <w:tcPr/>
                      <w:p w:rsidP="00000000" w:rsidRPr="00000000" w:rsidR="00000000" w:rsidDel="00000000" w:rsidRDefault="00000000">
                        <w:pPr>
                          <w:spacing w:lineRule="auto" w:after="0" w:line="240" w:before="0"/>
                          <w:contextualSpacing w:val="0"/>
                        </w:pPr>
                        <w:r w:rsidRPr="00000000" w:rsidR="00000000" w:rsidDel="00000000">
                          <w:rPr>
                            <w:rFonts w:cs="Calibri" w:hAnsi="Calibri" w:eastAsia="Calibri" w:ascii="Calibri"/>
                            <w:b w:val="0"/>
                            <w:color w:val="000000"/>
                            <w:sz w:val="20"/>
                            <w:rtl w:val="0"/>
                          </w:rPr>
                          <w:t xml:space="preserve">Describe a time when you had to count coins in real life. </w:t>
                        </w:r>
                        <w:r w:rsidRPr="00000000" w:rsidR="00000000" w:rsidDel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3.3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2.OA.2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, 2.MD.7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6"/>
              <w:bidiVisual w:val="0"/>
              <w:tblW w:w="2754.0" w:type="dxa"/>
              <w:jc w:val="left"/>
              <w:tblInd w:w="-114.0" w:type="dxa"/>
              <w:tblBorders>
                <w:top w:color="000000" w:space="0" w:val="nil" w:sz="0"/>
                <w:left w:color="000000" w:space="0" w:val="nil" w:sz="0"/>
                <w:bottom w:color="000000" w:space="0" w:val="nil" w:sz="0"/>
                <w:right w:color="000000" w:space="0" w:val="nil" w:sz="0"/>
              </w:tblBorders>
              <w:tblLayout w:type="fixed"/>
              <w:tblLook w:val="0000"/>
            </w:tblPr>
            <w:tblGrid>
              <w:gridCol w:w="2754"/>
              <w:tblGridChange w:id="0">
                <w:tblGrid>
                  <w:gridCol w:w="2754"/>
                </w:tblGrid>
              </w:tblGridChange>
            </w:tblGrid>
            <w:tr>
              <w:trPr>
                <w:trHeight w:val="580" w:hRule="atLeast"/>
              </w:trPr>
              <w:tc>
                <w:tcPr/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Fonts w:cs="Calibri" w:hAnsi="Calibri" w:eastAsia="Calibri" w:ascii="Calibri"/>
                      <w:b w:val="0"/>
                      <w:color w:val="000000"/>
                      <w:sz w:val="20"/>
                      <w:rtl w:val="0"/>
                    </w:rPr>
                    <w:t xml:space="preserve">When do you use a clock during the day? </w:t>
                  </w: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3.4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2.NBT.3, 2.G.1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7"/>
              <w:bidiVisual w:val="0"/>
              <w:tblW w:w="2754.0" w:type="dxa"/>
              <w:jc w:val="left"/>
              <w:tblInd w:w="-114.0" w:type="dxa"/>
              <w:tblBorders>
                <w:top w:color="000000" w:space="0" w:val="nil" w:sz="0"/>
                <w:left w:color="000000" w:space="0" w:val="nil" w:sz="0"/>
                <w:bottom w:color="000000" w:space="0" w:val="nil" w:sz="0"/>
                <w:right w:color="000000" w:space="0" w:val="nil" w:sz="0"/>
              </w:tblBorders>
              <w:tblLayout w:type="fixed"/>
              <w:tblLook w:val="0000"/>
            </w:tblPr>
            <w:tblGrid>
              <w:gridCol w:w="2754"/>
              <w:tblGridChange w:id="0">
                <w:tblGrid>
                  <w:gridCol w:w="2754"/>
                </w:tblGrid>
              </w:tblGridChange>
            </w:tblGrid>
            <w:tr>
              <w:trPr>
                <w:trHeight w:val="860" w:hRule="atLeast"/>
              </w:trPr>
              <w:tc>
                <w:tcPr/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Fonts w:cs="Calibri" w:hAnsi="Calibri" w:eastAsia="Calibri" w:ascii="Calibri"/>
                      <w:b w:val="0"/>
                      <w:color w:val="000000"/>
                      <w:sz w:val="20"/>
                      <w:rtl w:val="0"/>
                    </w:rPr>
                    <w:t xml:space="preserve">How could you get better at explaining how you solve problems? </w:t>
                  </w:r>
                </w:p>
              </w:tc>
            </w:tr>
          </w:tbl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3.5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2.MD.10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8"/>
              <w:bidiVisual w:val="0"/>
              <w:tblW w:w="2754.0" w:type="dxa"/>
              <w:jc w:val="left"/>
              <w:tblInd w:w="-114.0" w:type="dxa"/>
              <w:tblBorders>
                <w:top w:color="000000" w:space="0" w:val="nil" w:sz="0"/>
                <w:left w:color="000000" w:space="0" w:val="nil" w:sz="0"/>
                <w:bottom w:color="000000" w:space="0" w:val="nil" w:sz="0"/>
                <w:right w:color="000000" w:space="0" w:val="nil" w:sz="0"/>
              </w:tblBorders>
              <w:tblLayout w:type="fixed"/>
              <w:tblLook w:val="0000"/>
            </w:tblPr>
            <w:tblGrid>
              <w:gridCol w:w="2754"/>
              <w:tblGridChange w:id="0">
                <w:tblGrid>
                  <w:gridCol w:w="2754"/>
                </w:tblGrid>
              </w:tblGridChange>
            </w:tblGrid>
            <w:tr>
              <w:trPr>
                <w:trHeight w:val="580" w:hRule="atLeast"/>
              </w:trPr>
              <w:tc>
                <w:tcPr/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Fonts w:cs="Calibri" w:hAnsi="Calibri" w:eastAsia="Calibri" w:ascii="Calibri"/>
                      <w:b w:val="0"/>
                      <w:color w:val="000000"/>
                      <w:sz w:val="20"/>
                      <w:rtl w:val="0"/>
                    </w:rPr>
                    <w:t xml:space="preserve">Why are graphs helpful for showing data? </w:t>
                  </w:r>
                </w:p>
              </w:tc>
            </w:tr>
          </w:tbl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3.6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2.OA.1, 2.MD.6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10"/>
              <w:bidiVisual w:val="0"/>
              <w:tblW w:w="2754.0" w:type="dxa"/>
              <w:jc w:val="left"/>
              <w:tblInd w:w="-114.0" w:type="dxa"/>
              <w:tblBorders>
                <w:top w:color="000000" w:space="0" w:val="nil" w:sz="0"/>
                <w:left w:color="000000" w:space="0" w:val="nil" w:sz="0"/>
                <w:bottom w:color="000000" w:space="0" w:val="nil" w:sz="0"/>
                <w:right w:color="000000" w:space="0" w:val="nil" w:sz="0"/>
              </w:tblBorders>
              <w:tblLayout w:type="fixed"/>
              <w:tblLook w:val="0000"/>
            </w:tblPr>
            <w:tblGrid>
              <w:gridCol w:w="2754"/>
              <w:tblGridChange w:id="0">
                <w:tblGrid>
                  <w:gridCol w:w="2754"/>
                </w:tblGrid>
              </w:tblGridChange>
            </w:tblGrid>
            <w:tr>
              <w:trPr>
                <w:trHeight w:val="580" w:hRule="atLeast"/>
              </w:trPr>
              <w:tc>
                <w:tcPr/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Fonts w:cs="Calibri" w:hAnsi="Calibri" w:eastAsia="Calibri" w:ascii="Calibri"/>
                      <w:b w:val="0"/>
                      <w:color w:val="000000"/>
                      <w:sz w:val="20"/>
                      <w:rtl w:val="0"/>
                    </w:rPr>
                    <w:t xml:space="preserve">When else have you used growing patterns in math?</w:t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tbl>
                  <w:tblPr>
                    <w:tblStyle w:val="Table9"/>
                    <w:bidiVisual w:val="0"/>
                    <w:tblW w:w="2538.0" w:type="dxa"/>
                    <w:jc w:val="left"/>
                    <w:tblInd w:w="-114.0" w:type="dxa"/>
                    <w:tblBorders>
                      <w:top w:color="000000" w:space="0" w:val="nil" w:sz="0"/>
                      <w:left w:color="000000" w:space="0" w:val="nil" w:sz="0"/>
                      <w:bottom w:color="000000" w:space="0" w:val="nil" w:sz="0"/>
                      <w:right w:color="000000" w:space="0" w:val="nil" w:sz="0"/>
                    </w:tblBorders>
                    <w:tblLayout w:type="fixed"/>
                    <w:tblLook w:val="0000"/>
                  </w:tblPr>
                  <w:tblGrid>
                    <w:gridCol w:w="2538"/>
                    <w:tblGridChange w:id="0">
                      <w:tblGrid>
                        <w:gridCol w:w="2538"/>
                      </w:tblGrid>
                    </w:tblGridChange>
                  </w:tblGrid>
                  <w:tr>
                    <w:trPr>
                      <w:trHeight w:val="860" w:hRule="atLeast"/>
                    </w:trPr>
                    <w:tc>
                      <w:tcPr/>
                      <w:p w:rsidP="00000000" w:rsidRPr="00000000" w:rsidR="00000000" w:rsidDel="00000000" w:rsidRDefault="00000000">
                        <w:pPr>
                          <w:spacing w:lineRule="auto" w:after="0" w:line="240" w:before="0"/>
                          <w:contextualSpacing w:val="0"/>
                        </w:pPr>
                        <w:r w:rsidRPr="00000000" w:rsidR="00000000" w:rsidDel="00000000">
                          <w:rPr>
                            <w:rFonts w:cs="Calibri" w:hAnsi="Calibri" w:eastAsia="Calibri" w:ascii="Calibri"/>
                            <w:b w:val="0"/>
                            <w:color w:val="000000"/>
                            <w:sz w:val="20"/>
                            <w:rtl w:val="0"/>
                          </w:rPr>
                          <w:t xml:space="preserve">Why do we check our answers to see if they make sense? </w:t>
                        </w:r>
                      </w:p>
                    </w:tc>
                  </w:tr>
                </w:tbl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Fonts w:cs="Calibri" w:hAnsi="Calibri" w:eastAsia="Calibri" w:ascii="Calibri"/>
                      <w:b w:val="0"/>
                      <w:color w:val="000000"/>
                      <w:sz w:val="20"/>
                      <w:rtl w:val="0"/>
                    </w:rPr>
                    <w:t xml:space="preserve"> </w:t>
                  </w:r>
                </w:p>
              </w:tc>
            </w:tr>
          </w:tbl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3.7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2.OA.1,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2.NBT.1a, 2.NBT.2,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2.MD.8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11"/>
              <w:bidiVisual w:val="0"/>
              <w:tblW w:w="2754.0" w:type="dxa"/>
              <w:jc w:val="left"/>
              <w:tblInd w:w="-114.0" w:type="dxa"/>
              <w:tblBorders>
                <w:top w:color="000000" w:space="0" w:val="nil" w:sz="0"/>
                <w:left w:color="000000" w:space="0" w:val="nil" w:sz="0"/>
                <w:bottom w:color="000000" w:space="0" w:val="nil" w:sz="0"/>
                <w:right w:color="000000" w:space="0" w:val="nil" w:sz="0"/>
              </w:tblBorders>
              <w:tblLayout w:type="fixed"/>
              <w:tblLook w:val="0000"/>
            </w:tblPr>
            <w:tblGrid>
              <w:gridCol w:w="2754"/>
              <w:tblGridChange w:id="0">
                <w:tblGrid>
                  <w:gridCol w:w="2754"/>
                </w:tblGrid>
              </w:tblGridChange>
            </w:tblGrid>
            <w:tr>
              <w:trPr>
                <w:trHeight w:val="580" w:hRule="atLeast"/>
              </w:trPr>
              <w:tc>
                <w:tcPr/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Fonts w:cs="Calibri" w:hAnsi="Calibri" w:eastAsia="Calibri" w:ascii="Calibri"/>
                      <w:b w:val="0"/>
                      <w:color w:val="000000"/>
                      <w:sz w:val="20"/>
                      <w:rtl w:val="0"/>
                    </w:rPr>
                    <w:t xml:space="preserve">How are tools helpful when solving math problems? </w:t>
                  </w:r>
                </w:p>
              </w:tc>
            </w:tr>
          </w:tbl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3.8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2.OA.1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, 2.MD.8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12"/>
              <w:bidiVisual w:val="0"/>
              <w:tblW w:w="2754.0" w:type="dxa"/>
              <w:jc w:val="left"/>
              <w:tblInd w:w="-114.0" w:type="dxa"/>
              <w:tblBorders>
                <w:top w:color="000000" w:space="0" w:val="nil" w:sz="0"/>
                <w:left w:color="000000" w:space="0" w:val="nil" w:sz="0"/>
                <w:bottom w:color="000000" w:space="0" w:val="nil" w:sz="0"/>
                <w:right w:color="000000" w:space="0" w:val="nil" w:sz="0"/>
              </w:tblBorders>
              <w:tblLayout w:type="fixed"/>
              <w:tblLook w:val="0000"/>
            </w:tblPr>
            <w:tblGrid>
              <w:gridCol w:w="2754"/>
              <w:tblGridChange w:id="0">
                <w:tblGrid>
                  <w:gridCol w:w="2754"/>
                </w:tblGrid>
              </w:tblGridChange>
            </w:tblGrid>
            <w:tr>
              <w:trPr>
                <w:trHeight w:val="860" w:hRule="atLeast"/>
              </w:trPr>
              <w:tc>
                <w:tcPr/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Fonts w:cs="Calibri" w:hAnsi="Calibri" w:eastAsia="Calibri" w:ascii="Calibri"/>
                      <w:b w:val="0"/>
                      <w:color w:val="000000"/>
                      <w:sz w:val="20"/>
                      <w:rtl w:val="0"/>
                    </w:rPr>
                    <w:t xml:space="preserve">Describe a time when you might need exact change to pay for something. </w:t>
                  </w:r>
                </w:p>
              </w:tc>
            </w:tr>
          </w:tbl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u w:val="single"/>
                <w:rtl w:val="0"/>
              </w:rPr>
              <w:t xml:space="preserve">Assessments</w:t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Unit 3 Progress Check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cs="Arial" w:hAnsi="Arial" w:eastAsia="Arial" w:asci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cs="Arial" w:hAnsi="Arial" w:eastAsia="Arial" w:asci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cs="Arial" w:hAnsi="Arial" w:eastAsia="Arial" w:asci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cs="Arial" w:hAnsi="Arial" w:eastAsia="Arial" w:asci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sz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634" w:firstLine="274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354" w:firstLine="994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074" w:firstLine="1714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794" w:firstLine="2434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514" w:firstLine="3154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234" w:firstLine="3874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954" w:firstLine="4594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674" w:firstLine="5314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394" w:firstLine="6034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8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9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0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1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2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3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Math Curriculum Map Unit 3.docx</dc:title>
</cp:coreProperties>
</file>