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828"/>
        <w:gridCol w:w="1260"/>
        <w:gridCol w:w="1170"/>
        <w:gridCol w:w="3703"/>
        <w:gridCol w:w="1517"/>
        <w:gridCol w:w="1620"/>
        <w:gridCol w:w="3350"/>
        <w:tblGridChange w:id="0">
          <w:tblGrid>
            <w:gridCol w:w="828"/>
            <w:gridCol w:w="1260"/>
            <w:gridCol w:w="1170"/>
            <w:gridCol w:w="3703"/>
            <w:gridCol w:w="1517"/>
            <w:gridCol w:w="1620"/>
            <w:gridCol w:w="335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u w:val="single"/>
                <w:rtl w:val="0"/>
              </w:rPr>
              <w:t xml:space="preserve">1</w:t>
            </w:r>
            <w:r w:rsidRPr="00000000" w:rsidR="00000000" w:rsidDel="00000000">
              <w:rPr>
                <w:u w:val="single"/>
                <w:vertAlign w:val="superscript"/>
                <w:rtl w:val="0"/>
              </w:rPr>
              <w:t xml:space="preserve">st</w:t>
            </w:r>
            <w:r w:rsidRPr="00000000" w:rsidR="00000000" w:rsidDel="00000000">
              <w:rPr>
                <w:u w:val="single"/>
                <w:rtl w:val="0"/>
              </w:rPr>
              <w:t xml:space="preserve"> Trimester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rtl w:val="0"/>
              </w:rPr>
              <w:t xml:space="preserve">: 2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rtl w:val="0"/>
              </w:rPr>
              <w:t xml:space="preserve">:  1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rtl w:val="0"/>
              </w:rPr>
              <w:t xml:space="preserve">: </w:t>
            </w:r>
            <w:r w:rsidRPr="00000000" w:rsidR="00000000" w:rsidDel="00000000">
              <w:rPr>
                <w:u w:val="single"/>
                <w:rtl w:val="0"/>
              </w:rPr>
              <w:t xml:space="preserve">Numbers and Routines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The organization of Everyday Mathematics is based on the observation that children learn best when they build on prior knowledge.  Unit 1 contains a number of review activities for mathematics that students have encountered in first grade.  These will provide a snapshot of their mathematics background and capabilities as we begin a new school year.  In addition, Unit 1 also establishes routines meant to be used all year to promote an active and cooperative learning environment.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Unit 1 has five main areas of focus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before="28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review number patterns, number sequences, number grids, and number lines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before="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review months, weeks, and days, and telling time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before="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practice addition facts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before="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give equivalent names for numbers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100" w:before="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compare numbers using the symbols &lt;, &gt;, and =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rtl w:val="0"/>
              </w:rPr>
              <w:t xml:space="preserve">:  Where do you see and use numbers/number patterns in your everyday life?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rtl w:val="0"/>
              </w:rPr>
              <w:t xml:space="preserve">  odd, even, place value, expanded form, greater than, less than, equal to, length, unit, number line diagram, sums, differences, analog clock, digital clock, a.m./p.m.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Students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2.NBT.1a, 2.NBT.2, 2.NBT.3, 2.MD.6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are some tools that have marking similar to number lines?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Determine if a group of objects is even or odd by pairing objects or counting by 2’s. (2.OA.3)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Write equations to show that when a number is added to itself, whether even or odd, the sum is an even number. (2.OA.3)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Describe a hundred as a bundle of ten tens.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Explain that the digits of a 3-digit number represent amounts of hundreds, tens, and ones. (2.NBT.1)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Recognize a number in the hundreds. (2.NBT.1)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Count within 1,000 (2.NBT.2)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Skip count to 1,000 by 5’s, 10’s and 100’s. (2.NBT.2)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Read and write numbers up to 1,000 using a number (635), a number name (six hundred thirty five), or in expanded form (600+30+5). (2.NBT.3)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Compare two 3-digit numbers based on the digits in the hundreds, tens, and ones place. (2.NBT.4)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Use the symbols &lt;, &gt;, = to describe the comparison of two 3-digit numbers. (2.NBT.4)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Mentally add 10 and/or 100 to a given number from 100 to 900. (2.NBT.8)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Mentally subtract 10 and/or 100 to a given number from 100 to 900. (2.NBT.8)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Create a number line with equally spaced whole numbers intervals. (2.MD.6)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Use a number line to find sums and differences within 100. (2.MD.6)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0" w:line="276" w:before="0"/>
              <w:ind w:left="4" w:firstLine="0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Tell and write time from analog and digital clocks to the nearest five minutes using the terms a.m. and p.m. (2.MD.7)</w:t>
            </w:r>
          </w:p>
          <w:p w:rsidP="00000000" w:rsidRPr="00000000" w:rsidR="00000000" w:rsidDel="00000000" w:rsidRDefault="00000000">
            <w:pPr>
              <w:tabs>
                <w:tab w:val="left" w:pos="162"/>
              </w:tabs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tabs>
                <w:tab w:val="left" w:pos="162"/>
              </w:tabs>
              <w:spacing w:lineRule="auto" w:after="200" w:line="276" w:before="0"/>
              <w:ind w:left="4" w:firstLine="0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Understand the use of special terms such as half past, quarter after/past, quarter to, minutes to, and minutes after/past. (2.MD.7)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2.NBT.2, </w:t>
            </w: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2.NBT.3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be able to explain what numbers and symbols mean?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2.NBT.2, 2.MD.7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use mathematical tools correctly?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2.OA.2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Where can you find patterns in mathematics?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2.NBT.1, 2.NBT.2,</w:t>
              <w:br w:type="textWrapping"/>
              <w:t xml:space="preserve">2.MD.8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When is the relationship between ones, tens, and hundreds important in mathematics?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2.OA.2, 2.MD.8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count, add, and subtract correctly?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2.NBT.2, 2.NBT.3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make sense of other’s mathematical thinking?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2.OA.2;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2.NBT.2,</w:t>
              <w:br w:type="textWrapping"/>
              <w:t xml:space="preserve">2.NBT.8</w:t>
            </w: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, 2.MD.6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Where can you find patterns in mathematics?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2.NBT.1,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2.NBT.2,</w:t>
            </w: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br w:type="textWrapping"/>
              <w:t xml:space="preserve">2.MD.8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When might it be helpful to solve a problem in more than one way? Explain your thinking.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2.OA.3</w:t>
            </w: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, 2.NBT.1,</w:t>
              <w:br w:type="textWrapping"/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explain your strategies and be able to say why they work?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2.OA.2,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be able to explain what numbers and symbols mean?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t xml:space="preserve">2.OA.3,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2.NBT.1a,</w:t>
            </w:r>
            <w:r w:rsidRPr="00000000" w:rsidR="00000000" w:rsidDel="00000000">
              <w:rPr>
                <w:rFonts w:cs="Calibri" w:hAnsi="Calibri" w:eastAsia="Calibri" w:ascii="Calibri"/>
                <w:color w:val="000000"/>
                <w:sz w:val="20"/>
                <w:rtl w:val="0"/>
              </w:rPr>
              <w:br w:type="textWrapping"/>
              <w:t xml:space="preserve">2.NBT.2,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0"/>
                <w:rtl w:val="0"/>
              </w:rPr>
              <w:t xml:space="preserve">2.NBT.3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use a thermometer or any other tool correctly?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Assessments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Domain 5 Pre Test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Unit 1 Progress Check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Math Curriculum Map Unit 1.docx</dc:title>
</cp:coreProperties>
</file>