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2369.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2"/>
        <w:gridCol w:w="1681"/>
        <w:gridCol w:w="3160"/>
        <w:gridCol w:w="351"/>
        <w:gridCol w:w="2036"/>
        <w:gridCol w:w="1682"/>
        <w:gridCol w:w="2637"/>
        <w:tblGridChange w:id="0">
          <w:tblGrid>
            <w:gridCol w:w="822"/>
            <w:gridCol w:w="1681"/>
            <w:gridCol w:w="3160"/>
            <w:gridCol w:w="351"/>
            <w:gridCol w:w="2036"/>
            <w:gridCol w:w="1682"/>
            <w:gridCol w:w="2637"/>
          </w:tblGrid>
        </w:tblGridChange>
      </w:tblGrid>
      <w:tr>
        <w:trPr>
          <w:trHeight w:val="400" w:hRule="atLeast"/>
        </w:trPr>
        <w:tc>
          <w:tcPr>
            <w:gridSpan w:val="4"/>
          </w:tcPr>
          <w:p w:rsidP="00000000" w:rsidRPr="00000000" w:rsidR="00000000" w:rsidDel="00000000" w:rsidRDefault="00000000">
            <w:pPr>
              <w:contextualSpacing w:val="0"/>
            </w:pPr>
            <w:bookmarkStart w:id="0" w:colFirst="0" w:name="h.gjdgxs" w:colLast="0"/>
            <w:bookmarkEnd w:id="0"/>
            <w:r w:rsidRPr="00000000" w:rsidR="00000000" w:rsidDel="00000000">
              <w:rPr>
                <w:sz w:val="16"/>
                <w:u w:val="single"/>
                <w:rtl w:val="0"/>
              </w:rPr>
              <w:t xml:space="preserve">Grade</w:t>
            </w:r>
            <w:r w:rsidRPr="00000000" w:rsidR="00000000" w:rsidDel="00000000">
              <w:rPr>
                <w:sz w:val="16"/>
                <w:rtl w:val="0"/>
              </w:rPr>
              <w:t xml:space="preserve">: 1       </w:t>
            </w:r>
          </w:p>
        </w:tc>
        <w:tc>
          <w:tcPr>
            <w:gridSpan w:val="3"/>
          </w:tcPr>
          <w:p w:rsidP="00000000" w:rsidRPr="00000000" w:rsidR="00000000" w:rsidDel="00000000" w:rsidRDefault="00000000">
            <w:pPr>
              <w:contextualSpacing w:val="0"/>
            </w:pPr>
            <w:r w:rsidRPr="00000000" w:rsidR="00000000" w:rsidDel="00000000">
              <w:rPr>
                <w:sz w:val="16"/>
                <w:u w:val="single"/>
                <w:rtl w:val="0"/>
              </w:rPr>
              <w:t xml:space="preserve">Unit Number</w:t>
            </w:r>
            <w:r w:rsidRPr="00000000" w:rsidR="00000000" w:rsidDel="00000000">
              <w:rPr>
                <w:sz w:val="16"/>
                <w:rtl w:val="0"/>
              </w:rPr>
              <w:t xml:space="preserve">:  5</w:t>
            </w:r>
          </w:p>
        </w:tc>
      </w:tr>
      <w:tr>
        <w:trPr>
          <w:trHeight w:val="160" w:hRule="atLeast"/>
        </w:trPr>
        <w:tc>
          <w:tcPr>
            <w:gridSpan w:val="7"/>
          </w:tcPr>
          <w:p w:rsidP="00000000" w:rsidRPr="00000000" w:rsidR="00000000" w:rsidDel="00000000" w:rsidRDefault="00000000">
            <w:pPr>
              <w:contextualSpacing w:val="0"/>
            </w:pPr>
            <w:r w:rsidRPr="00000000" w:rsidR="00000000" w:rsidDel="00000000">
              <w:rPr>
                <w:sz w:val="16"/>
                <w:u w:val="single"/>
                <w:rtl w:val="0"/>
              </w:rPr>
              <w:t xml:space="preserve">Unit Overview</w:t>
            </w:r>
            <w:r w:rsidRPr="00000000" w:rsidR="00000000" w:rsidDel="00000000">
              <w:rPr>
                <w:sz w:val="16"/>
                <w:rtl w:val="0"/>
              </w:rPr>
              <w:t xml:space="preserve">:  In this unit there are four main focus areas:</w:t>
            </w:r>
          </w:p>
          <w:p w:rsidP="00000000" w:rsidRPr="00000000" w:rsidR="00000000" w:rsidDel="00000000" w:rsidRDefault="00000000">
            <w:pPr>
              <w:numPr>
                <w:ilvl w:val="0"/>
                <w:numId w:val="2"/>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To investigate place-value concepts for ten and ones</w:t>
            </w:r>
          </w:p>
          <w:p w:rsidP="00000000" w:rsidRPr="00000000" w:rsidR="00000000" w:rsidDel="00000000" w:rsidRDefault="00000000">
            <w:pPr>
              <w:numPr>
                <w:ilvl w:val="0"/>
                <w:numId w:val="2"/>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To explore addition of 2-digit numbers</w:t>
            </w:r>
          </w:p>
          <w:p w:rsidP="00000000" w:rsidRPr="00000000" w:rsidR="00000000" w:rsidDel="00000000" w:rsidRDefault="00000000">
            <w:pPr>
              <w:numPr>
                <w:ilvl w:val="0"/>
                <w:numId w:val="2"/>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To make up and solve a variety of numbers stories</w:t>
            </w:r>
          </w:p>
          <w:p w:rsidP="00000000" w:rsidRPr="00000000" w:rsidR="00000000" w:rsidDel="00000000" w:rsidRDefault="00000000">
            <w:pPr>
              <w:numPr>
                <w:ilvl w:val="0"/>
                <w:numId w:val="2"/>
              </w:numPr>
              <w:spacing w:lineRule="auto" w:after="20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To introduce the “What’s My Rule?” routine</w:t>
            </w:r>
          </w:p>
        </w:tc>
      </w:tr>
      <w:tr>
        <w:trPr>
          <w:trHeight w:val="160" w:hRule="atLeast"/>
        </w:trPr>
        <w:tc>
          <w:tcPr>
            <w:gridSpan w:val="7"/>
          </w:tcPr>
          <w:p w:rsidP="00000000" w:rsidRPr="00000000" w:rsidR="00000000" w:rsidDel="00000000" w:rsidRDefault="00000000">
            <w:pPr>
              <w:contextualSpacing w:val="0"/>
            </w:pPr>
            <w:r w:rsidRPr="00000000" w:rsidR="00000000" w:rsidDel="00000000">
              <w:rPr>
                <w:sz w:val="16"/>
                <w:u w:val="single"/>
                <w:rtl w:val="0"/>
              </w:rPr>
              <w:t xml:space="preserve">Essential Question</w:t>
            </w:r>
            <w:r w:rsidRPr="00000000" w:rsidR="00000000" w:rsidDel="00000000">
              <w:rPr>
                <w:sz w:val="16"/>
                <w:rtl w:val="0"/>
              </w:rPr>
              <w:t xml:space="preserve">:  How do we use place value, number stories and number facts in our everyday lives?</w:t>
            </w:r>
          </w:p>
        </w:tc>
      </w:tr>
      <w:tr>
        <w:trPr>
          <w:trHeight w:val="160" w:hRule="atLeast"/>
        </w:trPr>
        <w:tc>
          <w:tcPr>
            <w:gridSpan w:val="7"/>
          </w:tcPr>
          <w:p w:rsidP="00000000" w:rsidRPr="00000000" w:rsidR="00000000" w:rsidDel="00000000" w:rsidRDefault="00000000">
            <w:pPr>
              <w:contextualSpacing w:val="0"/>
            </w:pPr>
            <w:r w:rsidRPr="00000000" w:rsidR="00000000" w:rsidDel="00000000">
              <w:rPr>
                <w:sz w:val="16"/>
                <w:u w:val="single"/>
                <w:rtl w:val="0"/>
              </w:rPr>
              <w:t xml:space="preserve">Academic Vocabulary:</w:t>
            </w:r>
            <w:r w:rsidRPr="00000000" w:rsidR="00000000" w:rsidDel="00000000">
              <w:rPr>
                <w:sz w:val="16"/>
                <w:rtl w:val="0"/>
              </w:rPr>
              <w:t xml:space="preserve">  &lt;,&gt;,=     addition       addend      subtraction     subtract      equation     multiple of 10     compose     place value      commutative property      associative property     make 10      length      analog clock       hour      digital clock    count  on      count back    half-hour</w:t>
            </w:r>
          </w:p>
          <w:p w:rsidP="00000000" w:rsidRPr="00000000" w:rsidR="00000000" w:rsidDel="00000000" w:rsidRDefault="00000000">
            <w:pPr>
              <w:contextualSpacing w:val="0"/>
            </w:pPr>
            <w:r w:rsidRPr="00000000" w:rsidR="00000000" w:rsidDel="00000000">
              <w:rPr>
                <w:color w:val="000000"/>
                <w:sz w:val="16"/>
                <w:highlight w:val="lightGray"/>
                <w:u w:val="single"/>
                <w:rtl w:val="0"/>
              </w:rPr>
              <w:t xml:space="preserve">Spanish Immersion</w:t>
            </w:r>
            <w:r w:rsidRPr="00000000" w:rsidR="00000000" w:rsidDel="00000000">
              <w:rPr>
                <w:color w:val="000000"/>
                <w:sz w:val="16"/>
                <w:highlight w:val="lightGray"/>
                <w:rtl w:val="0"/>
              </w:rPr>
              <w:t xml:space="preserve">: </w:t>
            </w:r>
            <w:r w:rsidRPr="00000000" w:rsidR="00000000" w:rsidDel="00000000">
              <w:rPr>
                <w:sz w:val="16"/>
                <w:rtl w:val="0"/>
              </w:rPr>
              <w:t xml:space="preserve">  es menor que&lt;     es major que &gt;     es igual a=     adicion       sumando      resta       restar     operacion       multiple de 10      componer       valor posicional         propiedad comutativa      propiedad   asociativa       complementos de 10       el largo       reloj analogico     la hora     reloj   digital      contar hacia  adelante        contar hacia atras    media hora</w:t>
            </w: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u w:val="single"/>
                <w:rtl w:val="0"/>
              </w:rPr>
              <w:t xml:space="preserve">Lesson</w:t>
            </w:r>
          </w:p>
        </w:tc>
        <w:tc>
          <w:tcPr/>
          <w:p w:rsidP="00000000" w:rsidRPr="00000000" w:rsidR="00000000" w:rsidDel="00000000" w:rsidRDefault="00000000">
            <w:pPr>
              <w:contextualSpacing w:val="0"/>
            </w:pPr>
            <w:r w:rsidRPr="00000000" w:rsidR="00000000" w:rsidDel="00000000">
              <w:rPr>
                <w:sz w:val="16"/>
                <w:u w:val="single"/>
                <w:rtl w:val="0"/>
              </w:rPr>
              <w:t xml:space="preserve">Standard</w:t>
            </w:r>
          </w:p>
        </w:tc>
        <w:tc>
          <w:tcPr/>
          <w:p w:rsidP="00000000" w:rsidRPr="00000000" w:rsidR="00000000" w:rsidDel="00000000" w:rsidRDefault="00000000">
            <w:pPr>
              <w:contextualSpacing w:val="0"/>
            </w:pPr>
            <w:r w:rsidRPr="00000000" w:rsidR="00000000" w:rsidDel="00000000">
              <w:rPr>
                <w:sz w:val="16"/>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sz w:val="16"/>
                <w:u w:val="single"/>
                <w:rtl w:val="0"/>
              </w:rPr>
              <w:t xml:space="preserve">Additional Resources</w:t>
            </w:r>
          </w:p>
        </w:tc>
        <w:tc>
          <w:tcPr/>
          <w:p w:rsidP="00000000" w:rsidRPr="00000000" w:rsidR="00000000" w:rsidDel="00000000" w:rsidRDefault="00000000">
            <w:pPr>
              <w:contextualSpacing w:val="0"/>
            </w:pPr>
            <w:r w:rsidRPr="00000000" w:rsidR="00000000" w:rsidDel="00000000">
              <w:rPr>
                <w:sz w:val="16"/>
                <w:u w:val="single"/>
                <w:rtl w:val="0"/>
              </w:rPr>
              <w:t xml:space="preserve">Differentiation</w:t>
            </w:r>
          </w:p>
        </w:tc>
        <w:tc>
          <w:tcPr/>
          <w:p w:rsidP="00000000" w:rsidRPr="00000000" w:rsidR="00000000" w:rsidDel="00000000" w:rsidRDefault="00000000">
            <w:pPr>
              <w:contextualSpacing w:val="0"/>
            </w:pPr>
            <w:r w:rsidRPr="00000000" w:rsidR="00000000" w:rsidDel="00000000">
              <w:rPr>
                <w:sz w:val="16"/>
                <w:u w:val="single"/>
                <w:rtl w:val="0"/>
              </w:rPr>
              <w:t xml:space="preserve">Student Learning Goals</w:t>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5.1</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1.NBT.1</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numPr>
                <w:ilvl w:val="0"/>
                <w:numId w:val="2"/>
              </w:numPr>
              <w:spacing w:lineRule="auto" w:after="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How do longs and cubes help you understand what a number means?</w:t>
            </w:r>
          </w:p>
          <w:p w:rsidP="00000000" w:rsidRPr="00000000" w:rsidR="00000000" w:rsidDel="00000000" w:rsidRDefault="00000000">
            <w:pPr>
              <w:numPr>
                <w:ilvl w:val="0"/>
                <w:numId w:val="2"/>
              </w:numPr>
              <w:spacing w:lineRule="auto" w:after="200" w:line="276" w:before="0"/>
              <w:ind w:left="200" w:hanging="89"/>
              <w:contextualSpacing w:val="1"/>
              <w:rPr>
                <w:b w:val="0"/>
                <w:sz w:val="16"/>
              </w:rPr>
            </w:pPr>
            <w:r w:rsidRPr="00000000" w:rsidR="00000000" w:rsidDel="00000000">
              <w:rPr>
                <w:rFonts w:cs="Calibri" w:hAnsi="Calibri" w:eastAsia="Calibri" w:ascii="Calibri"/>
                <w:b w:val="0"/>
                <w:sz w:val="16"/>
                <w:rtl w:val="0"/>
              </w:rPr>
              <w:t xml:space="preserve">What are other ways to represent numbers besides using base 10 blocks?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contextualSpacing w:val="0"/>
            </w:pPr>
            <w:r w:rsidRPr="00000000" w:rsidR="00000000" w:rsidDel="00000000">
              <w:rPr>
                <w:sz w:val="16"/>
                <w:rtl w:val="0"/>
              </w:rPr>
              <w:t xml:space="preserve">I can…</w:t>
            </w:r>
          </w:p>
          <w:p w:rsidP="00000000" w:rsidRPr="00000000" w:rsidR="00000000" w:rsidDel="00000000" w:rsidRDefault="00000000">
            <w:pPr>
              <w:numPr>
                <w:ilvl w:val="0"/>
                <w:numId w:val="1"/>
              </w:numPr>
              <w:spacing w:lineRule="auto" w:after="0" w:line="276" w:before="0"/>
              <w:ind w:left="708" w:hanging="371"/>
              <w:contextualSpacing w:val="1"/>
              <w:rPr>
                <w:b w:val="0"/>
                <w:sz w:val="16"/>
              </w:rPr>
            </w:pPr>
            <w:r w:rsidRPr="00000000" w:rsidR="00000000" w:rsidDel="00000000">
              <w:rPr>
                <w:rFonts w:cs="Calibri" w:hAnsi="Calibri" w:eastAsia="Calibri" w:ascii="Calibri"/>
                <w:b w:val="0"/>
                <w:sz w:val="16"/>
                <w:rtl w:val="0"/>
              </w:rPr>
              <w:t xml:space="preserve">Count to 120 starting from any number</w:t>
            </w:r>
          </w:p>
          <w:p w:rsidP="00000000" w:rsidRPr="00000000" w:rsidR="00000000" w:rsidDel="00000000" w:rsidRDefault="00000000">
            <w:pPr>
              <w:numPr>
                <w:ilvl w:val="0"/>
                <w:numId w:val="1"/>
              </w:numPr>
              <w:spacing w:lineRule="auto" w:after="0" w:line="276" w:before="0"/>
              <w:ind w:left="720" w:hanging="371"/>
              <w:contextualSpacing w:val="1"/>
              <w:rPr>
                <w:b w:val="0"/>
                <w:sz w:val="16"/>
              </w:rPr>
            </w:pPr>
            <w:r w:rsidRPr="00000000" w:rsidR="00000000" w:rsidDel="00000000">
              <w:rPr>
                <w:rFonts w:cs="Calibri" w:hAnsi="Calibri" w:eastAsia="Calibri" w:ascii="Calibri"/>
                <w:b w:val="0"/>
                <w:sz w:val="16"/>
                <w:rtl w:val="0"/>
              </w:rPr>
              <w:t xml:space="preserve">Read any number to 120</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Write any number up to 120</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Count and write the number for a set of objects up to 120</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1.NBT.1</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Show 10 s a bundle of 10 ones.</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Show the numbers 11 to 19 as a ten and some ones.</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Use number names to represent multiple sets of ten (20, 30, 40, etc.)</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Tell how many tens and ones are in a number up to 99 (place value). </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1.NBT.2</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Compar two two-digit numbers using symbols to represent greater than, less than, and/or equal to (&gt;, &lt;  =).</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1&gt;NBT.3</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Add and subtract within 100</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Add a two-digit number and a one-digit number.</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Add a two-digit number and a multiple of 10.</w:t>
            </w:r>
          </w:p>
          <w:p w:rsidP="00000000" w:rsidRPr="00000000" w:rsidR="00000000" w:rsidDel="00000000" w:rsidRDefault="00000000">
            <w:pPr>
              <w:numPr>
                <w:ilvl w:val="0"/>
                <w:numId w:val="1"/>
              </w:numPr>
              <w:spacing w:lineRule="auto" w:after="20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Use a variety of strategies to add, and explain why these strategies work (e.g., collecting the tens, collecting the ones, or composing ten ones to make a ten).</w:t>
            </w:r>
          </w:p>
          <w:p w:rsidP="00000000" w:rsidRPr="00000000" w:rsidR="00000000" w:rsidDel="00000000" w:rsidRDefault="00000000">
            <w:pPr>
              <w:contextualSpacing w:val="0"/>
              <w:jc w:val="right"/>
            </w:pPr>
            <w:r w:rsidRPr="00000000" w:rsidR="00000000" w:rsidDel="00000000">
              <w:rPr>
                <w:sz w:val="16"/>
                <w:rtl w:val="0"/>
              </w:rPr>
              <w:t xml:space="preserve">1.NBT.4</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Add and subtract to 20.</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Solve addition and subtraction word problems using objects, drawings, and equations.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Solve word problems with unknown numbers in different positions (e.g., 6+ _=8, _+2=8, 6+2=_ ).</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1.OA.1</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(use the commutative property to) showthat changing the order of the numbers (addends) does not change the answer (sum).</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(use the associative property to) show when adding three number in any order, the answer (sum) does not change (e.g., 2+3+1=5+1=6</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1.OA.3</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Show a subtraction equation as an addition equation with a missing number (addend) </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1.OA.4</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Quickly add and subtract within 10.</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Add and subtract within 20 by counting on, making a ten, or breaking down a number to make and use smaller and easier sums (e.g. 6+7=6+6+6).</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1.OA.6</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Explain that the equal sign means “same as.”</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Tell if an addition or subtraction equation is true or false.</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1.OA.7</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Determine the unknown number in an adition or subtraction equation. </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1.OA.8</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Organize, represent, and interpret data in up to three categories (groups).</w:t>
            </w:r>
          </w:p>
          <w:p w:rsidP="00000000" w:rsidRPr="00000000" w:rsidR="00000000" w:rsidDel="00000000" w:rsidRDefault="00000000">
            <w:pPr>
              <w:numPr>
                <w:ilvl w:val="0"/>
                <w:numId w:val="1"/>
              </w:numPr>
              <w:spacing w:lineRule="auto" w:after="0" w:line="276" w:before="0"/>
              <w:ind w:left="720" w:hanging="359"/>
              <w:contextualSpacing w:val="1"/>
              <w:rPr>
                <w:b w:val="0"/>
                <w:sz w:val="16"/>
              </w:rPr>
            </w:pPr>
            <w:r w:rsidRPr="00000000" w:rsidR="00000000" w:rsidDel="00000000">
              <w:rPr>
                <w:rFonts w:cs="Calibri" w:hAnsi="Calibri" w:eastAsia="Calibri" w:ascii="Calibri"/>
                <w:b w:val="0"/>
                <w:sz w:val="16"/>
                <w:rtl w:val="0"/>
              </w:rPr>
              <w:t xml:space="preserve">Ask and answer questions about data.</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Fonts w:cs="Calibri" w:hAnsi="Calibri" w:eastAsia="Calibri" w:ascii="Calibri"/>
                <w:b w:val="0"/>
                <w:sz w:val="16"/>
                <w:rtl w:val="0"/>
              </w:rPr>
              <w:t xml:space="preserve">1.MD.4</w:t>
            </w:r>
          </w:p>
          <w:p w:rsidP="00000000" w:rsidRPr="00000000" w:rsidR="00000000" w:rsidDel="00000000" w:rsidRDefault="00000000">
            <w:pPr>
              <w:spacing w:lineRule="auto" w:after="0" w:line="276" w:before="0"/>
              <w:ind w:left="720" w:firstLine="0"/>
              <w:contextualSpacing w:val="0"/>
              <w:jc w:val="right"/>
            </w:pPr>
            <w:r w:rsidRPr="00000000" w:rsidR="00000000" w:rsidDel="00000000">
              <w:rPr>
                <w:rtl w:val="0"/>
              </w:rPr>
            </w:r>
          </w:p>
          <w:p w:rsidP="00000000" w:rsidRPr="00000000" w:rsidR="00000000" w:rsidDel="00000000" w:rsidRDefault="00000000">
            <w:pPr>
              <w:spacing w:lineRule="auto" w:after="200" w:line="276" w:before="0"/>
              <w:ind w:left="720" w:firstLine="0"/>
              <w:contextualSpacing w:val="0"/>
            </w:pPr>
            <w:r w:rsidRPr="00000000" w:rsidR="00000000" w:rsidDel="00000000">
              <w:rPr>
                <w:rFonts w:cs="Calibri" w:hAnsi="Calibri" w:eastAsia="Calibri" w:ascii="Calibri"/>
                <w:b w:val="0"/>
                <w:sz w:val="16"/>
                <w:rtl w:val="0"/>
              </w:rPr>
              <w:t xml:space="preserve">         </w:t>
            </w:r>
          </w:p>
        </w:tc>
      </w:tr>
      <w:tr>
        <w:trPr>
          <w:trHeight w:val="880" w:hRule="atLeast"/>
        </w:trPr>
        <w:tc>
          <w:tcPr/>
          <w:p w:rsidP="00000000" w:rsidRPr="00000000" w:rsidR="00000000" w:rsidDel="00000000" w:rsidRDefault="00000000">
            <w:pPr>
              <w:contextualSpacing w:val="0"/>
            </w:pPr>
            <w:r w:rsidRPr="00000000" w:rsidR="00000000" w:rsidDel="00000000">
              <w:rPr>
                <w:sz w:val="16"/>
                <w:rtl w:val="0"/>
              </w:rPr>
              <w:t xml:space="preserve">5.2</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1.NBT.2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numPr>
                <w:ilvl w:val="0"/>
                <w:numId w:val="2"/>
              </w:numPr>
              <w:spacing w:lineRule="auto" w:after="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How could you explain the 10s pattern to a friend?</w:t>
            </w:r>
          </w:p>
          <w:p w:rsidP="00000000" w:rsidRPr="00000000" w:rsidR="00000000" w:rsidDel="00000000" w:rsidRDefault="00000000">
            <w:pPr>
              <w:numPr>
                <w:ilvl w:val="0"/>
                <w:numId w:val="2"/>
              </w:numPr>
              <w:spacing w:lineRule="auto" w:after="20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What does “tens place” mean?  What does “ones  place” mean?</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5.3</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1.OA.7</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1.NBT.2</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1.NBT.3</w:t>
            </w:r>
          </w:p>
        </w:tc>
        <w:tc>
          <w:tcPr/>
          <w:p w:rsidP="00000000" w:rsidRPr="00000000" w:rsidR="00000000" w:rsidDel="00000000" w:rsidRDefault="00000000">
            <w:pPr>
              <w:numPr>
                <w:ilvl w:val="0"/>
                <w:numId w:val="2"/>
              </w:numPr>
              <w:spacing w:lineRule="auto" w:after="20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Why do we use the symbols &gt;, &lt; and = when we do math?</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5.4</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numPr>
                <w:ilvl w:val="0"/>
                <w:numId w:val="2"/>
              </w:numPr>
              <w:spacing w:lineRule="auto" w:after="200" w:line="276" w:before="0"/>
              <w:ind w:left="200" w:hanging="159"/>
              <w:contextualSpacing w:val="1"/>
              <w:rPr>
                <w:b w:val="0"/>
                <w:sz w:val="16"/>
              </w:rPr>
            </w:pPr>
            <w:r w:rsidRPr="00000000" w:rsidR="00000000" w:rsidDel="00000000">
              <w:rPr>
                <w:rFonts w:cs="Calibri" w:hAnsi="Calibri" w:eastAsia="Calibri" w:ascii="Calibri"/>
                <w:b w:val="0"/>
                <w:sz w:val="16"/>
                <w:rtl w:val="0"/>
              </w:rPr>
              <w:t xml:space="preserve">Why does it mean to find the area of a surface?</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5.5</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1.OA.1</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1.OA.3</w:t>
            </w:r>
          </w:p>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1.OA.6</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1.NBT.2</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1.NBT.4</w:t>
            </w:r>
            <w:r w:rsidRPr="00000000" w:rsidR="00000000" w:rsidDel="00000000">
              <w:rPr>
                <w:rtl w:val="0"/>
              </w:rPr>
            </w:r>
          </w:p>
        </w:tc>
        <w:tc>
          <w:tcPr/>
          <w:p w:rsidP="00000000" w:rsidRPr="00000000" w:rsidR="00000000" w:rsidDel="00000000" w:rsidRDefault="00000000">
            <w:pPr>
              <w:numPr>
                <w:ilvl w:val="0"/>
                <w:numId w:val="2"/>
              </w:numPr>
              <w:spacing w:lineRule="auto" w:after="20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What makes a math problem hard?</w:t>
            </w:r>
          </w:p>
          <w:p w:rsidP="00000000" w:rsidRPr="00000000" w:rsidR="00000000" w:rsidDel="00000000" w:rsidRDefault="00000000">
            <w:pPr>
              <w:contextualSpacing w:val="0"/>
            </w:pPr>
            <w:r w:rsidRPr="00000000" w:rsidR="00000000" w:rsidDel="00000000">
              <w:rPr>
                <w:sz w:val="16"/>
                <w:rtl w:val="0"/>
              </w:rPr>
              <w:t xml:space="preserve">How might explaining your solution help you become a better problem solver?</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5.6</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1.OA.1</w:t>
            </w:r>
          </w:p>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1.NBT.2</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1.NBT.3</w:t>
            </w:r>
            <w:r w:rsidRPr="00000000" w:rsidR="00000000" w:rsidDel="00000000">
              <w:rPr>
                <w:rtl w:val="0"/>
              </w:rPr>
            </w:r>
          </w:p>
        </w:tc>
        <w:tc>
          <w:tcPr/>
          <w:p w:rsidP="00000000" w:rsidRPr="00000000" w:rsidR="00000000" w:rsidDel="00000000" w:rsidRDefault="00000000">
            <w:pPr>
              <w:numPr>
                <w:ilvl w:val="0"/>
                <w:numId w:val="2"/>
              </w:numPr>
              <w:spacing w:lineRule="auto" w:after="20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How can numbers and symbols be used to tell stories?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5.7</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1.OA.1</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1.OA.4</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1.OA.6</w:t>
            </w:r>
          </w:p>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1.NBT.3</w:t>
            </w:r>
            <w:r w:rsidRPr="00000000" w:rsidR="00000000" w:rsidDel="00000000">
              <w:rPr>
                <w:rtl w:val="0"/>
              </w:rPr>
            </w:r>
          </w:p>
        </w:tc>
        <w:tc>
          <w:tcPr/>
          <w:p w:rsidP="00000000" w:rsidRPr="00000000" w:rsidR="00000000" w:rsidDel="00000000" w:rsidRDefault="00000000">
            <w:pPr>
              <w:numPr>
                <w:ilvl w:val="0"/>
                <w:numId w:val="2"/>
              </w:numPr>
              <w:spacing w:lineRule="auto" w:after="20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What are other words we use when we talk about subtraction?</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5.8</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1.OA.1</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1.OA.3</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1.OA.4</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1.OA.8</w:t>
            </w:r>
          </w:p>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1.NBT.2</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1.NBT.4</w:t>
            </w:r>
          </w:p>
        </w:tc>
        <w:tc>
          <w:tcPr/>
          <w:p w:rsidP="00000000" w:rsidRPr="00000000" w:rsidR="00000000" w:rsidDel="00000000" w:rsidRDefault="00000000">
            <w:pPr>
              <w:numPr>
                <w:ilvl w:val="0"/>
                <w:numId w:val="2"/>
              </w:numPr>
              <w:spacing w:lineRule="auto" w:after="20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What could you do if you don’t understand what a problem is asking you to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5.9</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1.OA.6</w:t>
            </w:r>
          </w:p>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1.NBT.2</w:t>
            </w:r>
          </w:p>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1.NBT.2a</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 1.MD.4</w:t>
            </w:r>
            <w:r w:rsidRPr="00000000" w:rsidR="00000000" w:rsidDel="00000000">
              <w:rPr>
                <w:rtl w:val="0"/>
              </w:rPr>
            </w:r>
          </w:p>
        </w:tc>
        <w:tc>
          <w:tcPr/>
          <w:p w:rsidP="00000000" w:rsidRPr="00000000" w:rsidR="00000000" w:rsidDel="00000000" w:rsidRDefault="00000000">
            <w:pPr>
              <w:numPr>
                <w:ilvl w:val="0"/>
                <w:numId w:val="2"/>
              </w:numPr>
              <w:spacing w:lineRule="auto" w:after="20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What can you do to explain your ideas better in math?</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5.10</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1.OA.1</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1.OA.6</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1.OA.7</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1.OA.8</w:t>
            </w:r>
            <w:r w:rsidRPr="00000000" w:rsidR="00000000" w:rsidDel="00000000">
              <w:rPr>
                <w:rtl w:val="0"/>
              </w:rPr>
            </w:r>
          </w:p>
        </w:tc>
        <w:tc>
          <w:tcPr/>
          <w:p w:rsidP="00000000" w:rsidRPr="00000000" w:rsidR="00000000" w:rsidDel="00000000" w:rsidRDefault="00000000">
            <w:pPr>
              <w:numPr>
                <w:ilvl w:val="0"/>
                <w:numId w:val="2"/>
              </w:numPr>
              <w:spacing w:lineRule="auto" w:after="20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Why might we call the doubles-plus-one and –two shortcuts?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5.11</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1.OA.3</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1.OA.6</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1.OA.8</w:t>
            </w:r>
            <w:r w:rsidRPr="00000000" w:rsidR="00000000" w:rsidDel="00000000">
              <w:rPr>
                <w:rtl w:val="0"/>
              </w:rPr>
            </w:r>
          </w:p>
        </w:tc>
        <w:tc>
          <w:tcPr/>
          <w:p w:rsidP="00000000" w:rsidRPr="00000000" w:rsidR="00000000" w:rsidDel="00000000" w:rsidRDefault="00000000">
            <w:pPr>
              <w:numPr>
                <w:ilvl w:val="0"/>
                <w:numId w:val="2"/>
              </w:numPr>
              <w:spacing w:lineRule="auto" w:after="200" w:line="276" w:before="0"/>
              <w:ind w:left="110" w:hanging="89"/>
              <w:contextualSpacing w:val="1"/>
              <w:rPr>
                <w:b w:val="0"/>
                <w:sz w:val="16"/>
              </w:rPr>
            </w:pPr>
            <w:r w:rsidRPr="00000000" w:rsidR="00000000" w:rsidDel="00000000">
              <w:rPr>
                <w:rFonts w:cs="Calibri" w:hAnsi="Calibri" w:eastAsia="Calibri" w:ascii="Calibri"/>
                <w:b w:val="0"/>
                <w:sz w:val="16"/>
                <w:rtl w:val="0"/>
              </w:rPr>
              <w:t xml:space="preserve">How do you decide when to use a calculator to solve a math problem and when to use your brain?</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5.12</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1.OA.3</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1.OA.8</w:t>
            </w:r>
            <w:r w:rsidRPr="00000000" w:rsidR="00000000" w:rsidDel="00000000">
              <w:rPr>
                <w:rtl w:val="0"/>
              </w:rPr>
            </w:r>
          </w:p>
        </w:tc>
        <w:tc>
          <w:tcPr/>
          <w:p w:rsidP="00000000" w:rsidRPr="00000000" w:rsidR="00000000" w:rsidDel="00000000" w:rsidRDefault="00000000">
            <w:pPr>
              <w:numPr>
                <w:ilvl w:val="0"/>
                <w:numId w:val="2"/>
              </w:numPr>
              <w:spacing w:lineRule="auto" w:after="0" w:line="276" w:before="0"/>
              <w:ind w:left="200" w:hanging="179"/>
              <w:contextualSpacing w:val="1"/>
              <w:rPr>
                <w:b w:val="0"/>
                <w:sz w:val="16"/>
              </w:rPr>
            </w:pPr>
            <w:r w:rsidRPr="00000000" w:rsidR="00000000" w:rsidDel="00000000">
              <w:rPr>
                <w:rFonts w:cs="Calibri" w:hAnsi="Calibri" w:eastAsia="Calibri" w:ascii="Calibri"/>
                <w:b w:val="0"/>
                <w:sz w:val="16"/>
                <w:rtl w:val="0"/>
              </w:rPr>
              <w:t xml:space="preserve">Why is it important to check your answers?</w:t>
            </w:r>
          </w:p>
          <w:p w:rsidP="00000000" w:rsidRPr="00000000" w:rsidR="00000000" w:rsidDel="00000000" w:rsidRDefault="00000000">
            <w:pPr>
              <w:spacing w:lineRule="auto" w:after="200" w:line="276" w:before="0"/>
              <w:ind w:left="200" w:firstLine="0"/>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5.13</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1.OA.6</w:t>
            </w:r>
          </w:p>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1.OA.8</w:t>
            </w:r>
            <w:r w:rsidRPr="00000000" w:rsidR="00000000" w:rsidDel="00000000">
              <w:rPr>
                <w:rtl w:val="0"/>
              </w:rPr>
            </w:r>
          </w:p>
        </w:tc>
        <w:tc>
          <w:tcPr/>
          <w:p w:rsidP="00000000" w:rsidRPr="00000000" w:rsidR="00000000" w:rsidDel="00000000" w:rsidRDefault="00000000">
            <w:pPr>
              <w:numPr>
                <w:ilvl w:val="0"/>
                <w:numId w:val="2"/>
              </w:numPr>
              <w:spacing w:lineRule="auto" w:after="200" w:line="276" w:before="0"/>
              <w:ind w:left="200" w:hanging="199"/>
              <w:contextualSpacing w:val="1"/>
              <w:rPr>
                <w:b w:val="0"/>
                <w:sz w:val="16"/>
              </w:rPr>
            </w:pPr>
            <w:r w:rsidRPr="00000000" w:rsidR="00000000" w:rsidDel="00000000">
              <w:rPr>
                <w:rFonts w:cs="Calibri" w:hAnsi="Calibri" w:eastAsia="Calibri" w:ascii="Calibri"/>
                <w:b w:val="0"/>
                <w:sz w:val="16"/>
                <w:rtl w:val="0"/>
              </w:rPr>
              <w:t xml:space="preserve">How might you explain a function machine to a friend who has never seen one?</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sz w:val="16"/>
                <w:rtl w:val="0"/>
              </w:rPr>
              <w:t xml:space="preserve">5.14</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gridSpan w:val="7"/>
          </w:tcPr>
          <w:p w:rsidP="00000000" w:rsidRPr="00000000" w:rsidR="00000000" w:rsidDel="00000000" w:rsidRDefault="00000000">
            <w:pPr>
              <w:contextualSpacing w:val="0"/>
            </w:pPr>
            <w:r w:rsidRPr="00000000" w:rsidR="00000000" w:rsidDel="00000000">
              <w:rPr>
                <w:sz w:val="16"/>
                <w:rtl w:val="0"/>
              </w:rPr>
              <w:t xml:space="preserve">Assessments:</w:t>
            </w:r>
          </w:p>
        </w:tc>
      </w:tr>
    </w:tbl>
    <w:p w:rsidP="00000000" w:rsidRPr="00000000" w:rsidR="00000000" w:rsidDel="00000000" w:rsidRDefault="00000000">
      <w:pPr>
        <w:contextualSpacing w:val="0"/>
      </w:pPr>
      <w:r w:rsidRPr="00000000" w:rsidR="00000000" w:rsidDel="00000000">
        <w:rPr>
          <w:rtl w:val="0"/>
        </w:rPr>
      </w:r>
    </w:p>
    <w:sectPr>
      <w:headerReference r:id="rId5"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BoldMT"/>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Rockford Public Schools</w:t>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Content Area: Math</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 math map (2).docx</dc:title>
</cp:coreProperties>
</file>