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drawing>
          <wp:inline distR="114300" distT="0" distB="0" distL="114300">
            <wp:extent cy="2794000" cx="2997200"/>
            <wp:effectExtent t="0" b="0" r="0" l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y="0" x="0"/>
                      <a:ext cy="2794000" cx="299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0</wp:posOffset>
            </wp:positionH>
            <wp:positionV relativeFrom="paragraph">
              <wp:posOffset>-2539</wp:posOffset>
            </wp:positionV>
            <wp:extent cy="2562225" cx="3848100"/>
            <wp:effectExtent t="0" b="0" r="0" l="0"/>
            <wp:wrapSquare distR="114300" distT="0" distB="0" wrapText="bothSides" distL="114300"/>
            <wp:docPr id="1" name="image02.png" descr="http://www.psia-nw.org/wp-content/uploads/GRR-model.png"/>
            <a:graphic>
              <a:graphicData uri="http://schemas.openxmlformats.org/drawingml/2006/picture">
                <pic:pic>
                  <pic:nvPicPr>
                    <pic:cNvPr id="0" name="image02.png" descr="http://www.psia-nw.org/wp-content/uploads/GRR-model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562225" cx="3848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During the 2014-15 school year, RPS will begin the implementation of a Gradual Release of Responsibility common instructional framework.  In addition to ensuring educational excellence for students, a common instructional model provides a framework to further align the school improvement process.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u w:val="single"/>
          <w:rtl w:val="0"/>
        </w:rPr>
        <w:t xml:space="preserve">YEAR 1:  Build Base Knowledge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1080" w:hanging="719"/>
        <w:rPr>
          <w:b w:val="0"/>
        </w:rPr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2014-15 EXPOSE all staff to the research of the Gradual Release of Responsibility.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1080" w:hanging="719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EXPLAIN and DEFINE the components of GRR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1080" w:hanging="719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CREATE common vocabulary and understanding DK-12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      Purposeful incorporation of GRR in lessons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1080" w:hanging="719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Targeted goals for professional growth related to GRR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1080" w:hanging="719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PROVIDE targeted professional learning opportunities for all staff members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u w:val="single"/>
          <w:rtl w:val="0"/>
        </w:rPr>
        <w:t xml:space="preserve">YEAR 2:   Deepening and Applying Knowledge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      Professional Development opportunities through trainings and Learning Lab experiences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0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       Integration of GRR into school improvement processes, lesson planning, and evaluations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u w:val="single"/>
          <w:rtl w:val="0"/>
        </w:rPr>
        <w:t xml:space="preserve">Our Vision For the Future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Students will know and communicate their learning targets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Students will observe teachers share their thinking as they approach a new or difficult task.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Students will collaborate with peers to synthesize, process, and apply new learning.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rtl w:val="0"/>
        </w:rPr>
        <w:t xml:space="preserve">Students will demonstrate a metacognitive approach to learning.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0" distT="0" distB="0" distL="0">
            <wp:extent cy="1316514" cx="6544410"/>
            <wp:effectExtent t="0" b="0" r="0" l="0"/>
            <wp:docPr id="2" name="image03.jpg" descr="http://www.hmhco.com/~/media/sites/home/education/disciplines/reading/english-reading-programs/literacy-by-design/gradual-release-model.jpg"/>
            <a:graphic>
              <a:graphicData uri="http://schemas.openxmlformats.org/drawingml/2006/picture">
                <pic:pic>
                  <pic:nvPicPr>
                    <pic:cNvPr id="0" name="image03.jpg" descr="http://www.hmhco.com/~/media/sites/home/education/disciplines/reading/english-reading-programs/literacy-by-design/gradual-release-model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316514" cx="65444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headerReference r:id="rId8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mbria" w:hAnsi="Cambria" w:eastAsia="Cambria" w:ascii="Cambria"/>
        <w:b w:val="0"/>
        <w:sz w:val="32"/>
        <w:rtl w:val="0"/>
      </w:rPr>
      <w:t xml:space="preserve">ROCKFORD PUBLIC SCHOOLS PROFESSIONAL FOCUS 2014-15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bullet"/>
      <w:lvlText w:val="•"/>
      <w:lvlJc w:val="left"/>
      <w:pPr>
        <w:ind w:left="1080" w:firstLine="360"/>
      </w:pPr>
      <w:rPr>
        <w:rFonts w:cs="Arial" w:hAnsi="Arial" w:eastAsia="Arial" w:ascii="Arial"/>
        <w:sz w:val="22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2.png" Type="http://schemas.openxmlformats.org/officeDocument/2006/relationships/image" Id="rId6"/><Relationship Target="media/image05.png" Type="http://schemas.openxmlformats.org/officeDocument/2006/relationships/image" Id="rId5"/><Relationship Target="header1.xml" Type="http://schemas.openxmlformats.org/officeDocument/2006/relationships/header" Id="rId8"/><Relationship Target="media/image03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GRR - 3 year plan and vision.docx</dc:title>
</cp:coreProperties>
</file>